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1CA" w:rsidRPr="0019005E" w:rsidRDefault="003061CA" w:rsidP="003061CA">
      <w:pPr>
        <w:jc w:val="center"/>
        <w:rPr>
          <w:rFonts w:ascii="Arial" w:hAnsi="Arial" w:cs="Arial"/>
          <w:b/>
          <w:iCs/>
          <w:sz w:val="28"/>
          <w:szCs w:val="28"/>
          <w:u w:val="single"/>
        </w:rPr>
      </w:pPr>
      <w:r w:rsidRPr="0019005E">
        <w:rPr>
          <w:rFonts w:ascii="Arial" w:hAnsi="Arial" w:cs="Arial"/>
          <w:b/>
          <w:iCs/>
          <w:sz w:val="28"/>
          <w:szCs w:val="28"/>
          <w:u w:val="single"/>
        </w:rPr>
        <w:t>Long-Term Fiscal Planning and Policy Framework</w:t>
      </w:r>
    </w:p>
    <w:p w:rsidR="003061CA" w:rsidRPr="0068123A" w:rsidRDefault="003061CA" w:rsidP="0019005E">
      <w:pPr>
        <w:pStyle w:val="NoSpacing"/>
        <w:rPr>
          <w:rFonts w:ascii="Arial" w:hAnsi="Arial" w:cs="Arial"/>
        </w:rPr>
      </w:pPr>
      <w:r w:rsidRPr="0068123A">
        <w:rPr>
          <w:rFonts w:ascii="Arial" w:hAnsi="Arial" w:cs="Arial"/>
        </w:rPr>
        <w:t>In the coming weeks we will publish the Commonwealth’s first-ever long-term fiscal planning and policy framework.</w:t>
      </w:r>
      <w:r w:rsidR="0019005E">
        <w:rPr>
          <w:rFonts w:ascii="Arial" w:hAnsi="Arial" w:cs="Arial"/>
        </w:rPr>
        <w:t xml:space="preserve"> </w:t>
      </w:r>
      <w:r w:rsidRPr="0068123A">
        <w:rPr>
          <w:rFonts w:ascii="Arial" w:hAnsi="Arial" w:cs="Arial"/>
        </w:rPr>
        <w:t>The framework is based on independent five-year revenue and economic forecasts and rigorous analysis of budgetary spending.</w:t>
      </w:r>
    </w:p>
    <w:p w:rsidR="003061CA" w:rsidRPr="0019005E" w:rsidRDefault="003061CA" w:rsidP="0019005E">
      <w:pPr>
        <w:pStyle w:val="NoSpacing"/>
        <w:numPr>
          <w:ilvl w:val="0"/>
          <w:numId w:val="2"/>
        </w:numPr>
        <w:rPr>
          <w:rFonts w:ascii="Arial" w:hAnsi="Arial" w:cs="Arial"/>
        </w:rPr>
      </w:pPr>
      <w:r w:rsidRPr="0068123A">
        <w:rPr>
          <w:rFonts w:ascii="Arial" w:hAnsi="Arial" w:cs="Arial"/>
        </w:rPr>
        <w:t xml:space="preserve">It identifies challenges to sustainability of government programs and </w:t>
      </w:r>
      <w:proofErr w:type="gramStart"/>
      <w:r w:rsidRPr="0068123A">
        <w:rPr>
          <w:rFonts w:ascii="Arial" w:hAnsi="Arial" w:cs="Arial"/>
        </w:rPr>
        <w:t>servi</w:t>
      </w:r>
      <w:r w:rsidR="0019005E">
        <w:rPr>
          <w:rFonts w:ascii="Arial" w:hAnsi="Arial" w:cs="Arial"/>
        </w:rPr>
        <w:t xml:space="preserve">ces based on existing resources and </w:t>
      </w:r>
      <w:r w:rsidRPr="0019005E">
        <w:rPr>
          <w:rFonts w:ascii="Arial" w:hAnsi="Arial" w:cs="Arial"/>
        </w:rPr>
        <w:t>articulates</w:t>
      </w:r>
      <w:proofErr w:type="gramEnd"/>
      <w:r w:rsidRPr="0019005E">
        <w:rPr>
          <w:rFonts w:ascii="Arial" w:hAnsi="Arial" w:cs="Arial"/>
        </w:rPr>
        <w:t xml:space="preserve"> goals and policies for addressing these challenges and informing budgetary decisions to ensure sustainability.</w:t>
      </w:r>
    </w:p>
    <w:p w:rsidR="003061CA" w:rsidRPr="0068123A" w:rsidRDefault="003061CA" w:rsidP="003061CA">
      <w:pPr>
        <w:pStyle w:val="NoSpacing"/>
        <w:numPr>
          <w:ilvl w:val="0"/>
          <w:numId w:val="2"/>
        </w:numPr>
        <w:rPr>
          <w:rFonts w:ascii="Arial" w:hAnsi="Arial" w:cs="Arial"/>
        </w:rPr>
      </w:pPr>
      <w:r w:rsidRPr="0068123A">
        <w:rPr>
          <w:rFonts w:ascii="Arial" w:hAnsi="Arial" w:cs="Arial"/>
        </w:rPr>
        <w:t>It promotes fiscal management and best practices that will further enhance our standing with the national credit rating agencies.</w:t>
      </w:r>
    </w:p>
    <w:p w:rsidR="003061CA" w:rsidRPr="00857D64" w:rsidRDefault="003061CA" w:rsidP="003061CA">
      <w:pPr>
        <w:pStyle w:val="NoSpacing"/>
      </w:pPr>
      <w:bookmarkStart w:id="0" w:name="_GoBack"/>
      <w:bookmarkEnd w:id="0"/>
    </w:p>
    <w:p w:rsidR="003061CA" w:rsidRDefault="003061CA" w:rsidP="003061CA">
      <w:pPr>
        <w:pStyle w:val="NoSpacing"/>
        <w:rPr>
          <w:rFonts w:ascii="Arial" w:hAnsi="Arial" w:cs="Arial"/>
          <w:b/>
        </w:rPr>
      </w:pPr>
      <w:r w:rsidRPr="0068123A">
        <w:rPr>
          <w:rFonts w:ascii="Arial" w:hAnsi="Arial" w:cs="Arial"/>
          <w:b/>
        </w:rPr>
        <w:t>Background</w:t>
      </w:r>
    </w:p>
    <w:p w:rsidR="003061CA" w:rsidRPr="0068123A" w:rsidRDefault="003061CA" w:rsidP="003061CA">
      <w:pPr>
        <w:pStyle w:val="NoSpacing"/>
        <w:rPr>
          <w:rFonts w:ascii="Arial" w:hAnsi="Arial" w:cs="Arial"/>
          <w:b/>
        </w:rPr>
      </w:pPr>
    </w:p>
    <w:p w:rsidR="003061CA" w:rsidRPr="0068123A" w:rsidRDefault="003061CA" w:rsidP="003061CA">
      <w:pPr>
        <w:pStyle w:val="NoSpacing"/>
        <w:numPr>
          <w:ilvl w:val="0"/>
          <w:numId w:val="1"/>
        </w:numPr>
        <w:rPr>
          <w:rFonts w:ascii="Arial" w:hAnsi="Arial" w:cs="Arial"/>
        </w:rPr>
      </w:pPr>
      <w:r w:rsidRPr="0068123A">
        <w:rPr>
          <w:rFonts w:ascii="Arial" w:hAnsi="Arial" w:cs="Arial"/>
        </w:rPr>
        <w:t xml:space="preserve">The Patrick-Murray Administration is the first administration in Massachusetts to establish a Long-Term Planning Policy to ensure that the state budget is consistent with the principle of fiscal sustainability.  </w:t>
      </w:r>
    </w:p>
    <w:p w:rsidR="003061CA" w:rsidRPr="0068123A" w:rsidRDefault="003061CA" w:rsidP="003061CA">
      <w:pPr>
        <w:pStyle w:val="NoSpacing"/>
        <w:numPr>
          <w:ilvl w:val="0"/>
          <w:numId w:val="1"/>
        </w:numPr>
        <w:rPr>
          <w:rFonts w:ascii="Arial" w:hAnsi="Arial" w:cs="Arial"/>
        </w:rPr>
      </w:pPr>
      <w:r w:rsidRPr="0068123A">
        <w:rPr>
          <w:rFonts w:ascii="Arial" w:hAnsi="Arial" w:cs="Arial"/>
        </w:rPr>
        <w:t xml:space="preserve">This policy was developed based on best practices recommended by the Government Finance Officers Association (GFOA) and accounting standards being proposed by the Governmental Accounting Standards Board (GASB). </w:t>
      </w:r>
    </w:p>
    <w:p w:rsidR="003061CA" w:rsidRPr="0068123A" w:rsidRDefault="003061CA" w:rsidP="003061CA">
      <w:pPr>
        <w:pStyle w:val="NoSpacing"/>
        <w:numPr>
          <w:ilvl w:val="0"/>
          <w:numId w:val="1"/>
        </w:numPr>
        <w:rPr>
          <w:rFonts w:ascii="Arial" w:hAnsi="Arial" w:cs="Arial"/>
        </w:rPr>
      </w:pPr>
      <w:r w:rsidRPr="0068123A">
        <w:rPr>
          <w:rFonts w:ascii="Arial" w:hAnsi="Arial" w:cs="Arial"/>
        </w:rPr>
        <w:t xml:space="preserve">This policy includes benchmarks to prevent structural deficits, an estimate for the sustainable rate of growth in health care spending, and identifies the need to address long-term liabilities for pensions and retiree health care. </w:t>
      </w:r>
    </w:p>
    <w:p w:rsidR="003061CA" w:rsidRPr="0068123A" w:rsidRDefault="003061CA" w:rsidP="003061CA">
      <w:pPr>
        <w:pStyle w:val="NoSpacing"/>
        <w:numPr>
          <w:ilvl w:val="0"/>
          <w:numId w:val="1"/>
        </w:numPr>
        <w:rPr>
          <w:rFonts w:ascii="Arial" w:hAnsi="Arial" w:cs="Arial"/>
        </w:rPr>
      </w:pPr>
      <w:r w:rsidRPr="0068123A">
        <w:rPr>
          <w:rFonts w:ascii="Arial" w:hAnsi="Arial" w:cs="Arial"/>
        </w:rPr>
        <w:t xml:space="preserve">The Administration’s policy to prevent structural deficits relies on a long-term tax revenue forecast based on the outlook for the Commonwealth’s economy.  The FY 2013 budget achieves structural balance by limiting the use of one time resources to $541 M which is well below the estimated $1.025 B cyclical shortfall in tax revenue (see Figure 1) which reflects the fact that the state economy is still recovering from the recession and is below its fully capacity. </w:t>
      </w:r>
    </w:p>
    <w:p w:rsidR="003061CA" w:rsidRPr="0068123A" w:rsidRDefault="003061CA" w:rsidP="003061CA">
      <w:pPr>
        <w:pStyle w:val="NoSpacing"/>
        <w:numPr>
          <w:ilvl w:val="0"/>
          <w:numId w:val="1"/>
        </w:numPr>
        <w:rPr>
          <w:rFonts w:ascii="Arial" w:hAnsi="Arial" w:cs="Arial"/>
        </w:rPr>
      </w:pPr>
      <w:r w:rsidRPr="0068123A">
        <w:rPr>
          <w:rFonts w:ascii="Arial" w:hAnsi="Arial" w:cs="Arial"/>
        </w:rPr>
        <w:t>The Long-Term Planning Policy identifies a sustainable rate of growth in health care spending at a level that is approximately equal to the projected long-term rate of economic growth for the Commonwealth. This rate of growth would allow the Commonwealth to maintain programs and services in other areas, but does not allow for meaningful investments in priorities such as education, job creation and preventing youth violence. Health care costs would need to be contained to even lower growth rates in order to redirect future budgetary resources towards restoring cuts to other areas of government.</w:t>
      </w:r>
    </w:p>
    <w:p w:rsidR="003061CA" w:rsidRPr="0068123A" w:rsidRDefault="003061CA" w:rsidP="003061CA">
      <w:pPr>
        <w:pStyle w:val="NoSpacing"/>
        <w:numPr>
          <w:ilvl w:val="0"/>
          <w:numId w:val="1"/>
        </w:numPr>
        <w:rPr>
          <w:rFonts w:ascii="Arial" w:hAnsi="Arial" w:cs="Arial"/>
        </w:rPr>
      </w:pPr>
      <w:r w:rsidRPr="0068123A">
        <w:rPr>
          <w:rFonts w:ascii="Arial" w:hAnsi="Arial" w:cs="Arial"/>
        </w:rPr>
        <w:t>The Governor’s recommendations to address health care costs in FY 2012 will allow the Commonwealth to stay below 5% growth – achieving more than $800 M in savings. These reforms and cost-savings initiatives put the Commonwealth on track to reduce statewide expenditures on health care substantially over time.  These efforts will continue in FY 2013 to again limit cost growth to less than 6%.</w:t>
      </w:r>
    </w:p>
    <w:p w:rsidR="003061CA" w:rsidRPr="0068123A" w:rsidRDefault="003061CA" w:rsidP="003061CA">
      <w:pPr>
        <w:pStyle w:val="NoSpacing"/>
        <w:numPr>
          <w:ilvl w:val="0"/>
          <w:numId w:val="1"/>
        </w:numPr>
        <w:rPr>
          <w:rFonts w:ascii="Arial" w:hAnsi="Arial" w:cs="Arial"/>
        </w:rPr>
      </w:pPr>
      <w:r w:rsidRPr="0068123A">
        <w:rPr>
          <w:rFonts w:ascii="Arial" w:hAnsi="Arial" w:cs="Arial"/>
        </w:rPr>
        <w:t xml:space="preserve">The Long-Term Planning Policy also identifies the need for solutions to address the unfunded liabilities associated with OPEB. The statewide OPEB liability exceeds $40 B and represents an estimated $100 B in future payments that have not been funded. </w:t>
      </w:r>
    </w:p>
    <w:p w:rsidR="003061CA" w:rsidRPr="0068123A" w:rsidRDefault="003061CA" w:rsidP="003061CA">
      <w:pPr>
        <w:pStyle w:val="NoSpacing"/>
        <w:numPr>
          <w:ilvl w:val="0"/>
          <w:numId w:val="1"/>
        </w:numPr>
        <w:rPr>
          <w:rFonts w:ascii="Arial" w:hAnsi="Arial" w:cs="Arial"/>
        </w:rPr>
      </w:pPr>
      <w:r w:rsidRPr="0068123A">
        <w:rPr>
          <w:rFonts w:ascii="Arial" w:hAnsi="Arial" w:cs="Arial"/>
        </w:rPr>
        <w:lastRenderedPageBreak/>
        <w:t>The Administration has taken a number of steps to address this challenge including:  increasing the share of health insurance cost paid by employees and retirees; re-constituting the board to oversee investment funds designated to offset the liability; the commitment beginning in FY 2013 to phase-in proceeds from tobacco settlements to provide resources for the investment fund; allocating 5% of capital gains revenue over $1B to the fund; and recent pension reform legislation which will raise retirement ages and is expected to lower retiree health care costs over time.</w:t>
      </w:r>
    </w:p>
    <w:p w:rsidR="003061CA" w:rsidRPr="0068123A" w:rsidRDefault="003061CA" w:rsidP="003061CA">
      <w:pPr>
        <w:pStyle w:val="NoSpacing"/>
        <w:numPr>
          <w:ilvl w:val="0"/>
          <w:numId w:val="1"/>
        </w:numPr>
      </w:pPr>
      <w:r w:rsidRPr="0068123A">
        <w:rPr>
          <w:rFonts w:ascii="Arial" w:hAnsi="Arial" w:cs="Arial"/>
        </w:rPr>
        <w:t xml:space="preserve">Additional solutions, however, are still needed to address this threat to the state’s fiscal sustainability. These solutions will be reviewed as part of an OPEB Commission that was mandated as part of the pension reforms signed into law by Governor Patrick in November 2011. </w:t>
      </w:r>
    </w:p>
    <w:p w:rsidR="009A5C4D" w:rsidRDefault="009A5C4D"/>
    <w:sectPr w:rsidR="009A5C4D" w:rsidSect="003061CA">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A30FD"/>
    <w:multiLevelType w:val="hybridMultilevel"/>
    <w:tmpl w:val="48AE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D75CA9"/>
    <w:multiLevelType w:val="hybridMultilevel"/>
    <w:tmpl w:val="334AF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1CA"/>
    <w:rsid w:val="0019005E"/>
    <w:rsid w:val="003061CA"/>
    <w:rsid w:val="009A5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1CA"/>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61CA"/>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1CA"/>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61C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57847-94DB-444E-B15B-9D9E5BF15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Zaroulis, Alex (ANF)</cp:lastModifiedBy>
  <cp:revision>2</cp:revision>
  <dcterms:created xsi:type="dcterms:W3CDTF">2012-05-03T13:55:00Z</dcterms:created>
  <dcterms:modified xsi:type="dcterms:W3CDTF">2012-05-03T13:55:00Z</dcterms:modified>
</cp:coreProperties>
</file>