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80B80" w:rsidRPr="009B205D" w:rsidRDefault="00780B80" w:rsidP="00780B80">
      <w:pPr>
        <w:spacing w:after="0" w:line="240" w:lineRule="auto"/>
        <w:rPr>
          <w:rFonts w:ascii="Arial" w:eastAsia="Times New Roman" w:hAnsi="Arial" w:cs="Arial"/>
          <w:b/>
          <w:sz w:val="28"/>
          <w:szCs w:val="28"/>
        </w:rPr>
      </w:pPr>
      <w:bookmarkStart w:id="0" w:name="_GoBack"/>
      <w:bookmarkEnd w:id="0"/>
      <w:r w:rsidRPr="009B205D">
        <w:rPr>
          <w:rFonts w:ascii="Arial" w:eastAsia="Times New Roman" w:hAnsi="Arial" w:cs="Arial"/>
          <w:b/>
          <w:sz w:val="28"/>
          <w:szCs w:val="28"/>
        </w:rPr>
        <w:t xml:space="preserve">MEMO: </w:t>
      </w:r>
      <w:r w:rsidR="004D0B4F">
        <w:rPr>
          <w:rFonts w:ascii="Arial" w:eastAsia="Times New Roman" w:hAnsi="Arial" w:cs="Arial"/>
          <w:b/>
          <w:sz w:val="28"/>
          <w:szCs w:val="28"/>
        </w:rPr>
        <w:tab/>
      </w:r>
      <w:r w:rsidRPr="009B205D">
        <w:rPr>
          <w:rFonts w:ascii="Arial" w:eastAsia="Times New Roman" w:hAnsi="Arial" w:cs="Arial"/>
          <w:b/>
          <w:sz w:val="28"/>
          <w:szCs w:val="28"/>
        </w:rPr>
        <w:t>The Department of Transitional Assistance</w:t>
      </w:r>
    </w:p>
    <w:p w:rsidR="00780B80" w:rsidRPr="009B205D" w:rsidRDefault="00780B80" w:rsidP="00780B80">
      <w:pPr>
        <w:spacing w:after="0" w:line="240" w:lineRule="auto"/>
        <w:rPr>
          <w:rFonts w:ascii="Arial" w:eastAsia="Times New Roman" w:hAnsi="Arial" w:cs="Arial"/>
          <w:sz w:val="28"/>
          <w:szCs w:val="28"/>
        </w:rPr>
      </w:pPr>
      <w:r w:rsidRPr="009B205D">
        <w:rPr>
          <w:rFonts w:ascii="Arial" w:eastAsia="Times New Roman" w:hAnsi="Arial" w:cs="Arial"/>
          <w:sz w:val="28"/>
          <w:szCs w:val="28"/>
        </w:rPr>
        <w:t xml:space="preserve">TO: </w:t>
      </w:r>
      <w:r w:rsidR="009B205D" w:rsidRPr="009B205D">
        <w:rPr>
          <w:rFonts w:ascii="Arial" w:eastAsia="Times New Roman" w:hAnsi="Arial" w:cs="Arial"/>
          <w:sz w:val="28"/>
          <w:szCs w:val="28"/>
        </w:rPr>
        <w:tab/>
      </w:r>
      <w:r w:rsidR="004D0B4F">
        <w:rPr>
          <w:rFonts w:ascii="Arial" w:eastAsia="Times New Roman" w:hAnsi="Arial" w:cs="Arial"/>
          <w:sz w:val="28"/>
          <w:szCs w:val="28"/>
        </w:rPr>
        <w:tab/>
      </w:r>
      <w:r w:rsidR="009B205D" w:rsidRPr="009B205D">
        <w:rPr>
          <w:rFonts w:ascii="Arial" w:eastAsia="Times New Roman" w:hAnsi="Arial" w:cs="Arial"/>
          <w:sz w:val="28"/>
          <w:szCs w:val="28"/>
        </w:rPr>
        <w:t>Governor Patrick</w:t>
      </w:r>
    </w:p>
    <w:p w:rsidR="00780B80" w:rsidRPr="009B205D" w:rsidRDefault="00780B80" w:rsidP="00780B80">
      <w:pPr>
        <w:spacing w:after="0" w:line="240" w:lineRule="auto"/>
        <w:rPr>
          <w:rFonts w:ascii="Arial" w:eastAsia="Times New Roman" w:hAnsi="Arial" w:cs="Arial"/>
          <w:sz w:val="28"/>
          <w:szCs w:val="28"/>
        </w:rPr>
      </w:pPr>
      <w:r w:rsidRPr="009B205D">
        <w:rPr>
          <w:rFonts w:ascii="Arial" w:eastAsia="Times New Roman" w:hAnsi="Arial" w:cs="Arial"/>
          <w:sz w:val="28"/>
          <w:szCs w:val="28"/>
        </w:rPr>
        <w:t xml:space="preserve">FR: </w:t>
      </w:r>
      <w:r w:rsidR="009B205D" w:rsidRPr="009B205D">
        <w:rPr>
          <w:rFonts w:ascii="Arial" w:eastAsia="Times New Roman" w:hAnsi="Arial" w:cs="Arial"/>
          <w:sz w:val="28"/>
          <w:szCs w:val="28"/>
        </w:rPr>
        <w:tab/>
      </w:r>
      <w:r w:rsidR="004D0B4F">
        <w:rPr>
          <w:rFonts w:ascii="Arial" w:eastAsia="Times New Roman" w:hAnsi="Arial" w:cs="Arial"/>
          <w:sz w:val="28"/>
          <w:szCs w:val="28"/>
        </w:rPr>
        <w:tab/>
      </w:r>
      <w:r w:rsidR="009B205D" w:rsidRPr="009B205D">
        <w:rPr>
          <w:rFonts w:ascii="Arial" w:eastAsia="Times New Roman" w:hAnsi="Arial" w:cs="Arial"/>
          <w:sz w:val="28"/>
          <w:szCs w:val="28"/>
        </w:rPr>
        <w:t>Secretary Polanowicz</w:t>
      </w:r>
    </w:p>
    <w:p w:rsidR="00780B80" w:rsidRPr="009B205D" w:rsidRDefault="00780B80" w:rsidP="00780B80">
      <w:pPr>
        <w:pBdr>
          <w:bottom w:val="single" w:sz="4" w:space="1" w:color="auto"/>
        </w:pBdr>
        <w:spacing w:after="0" w:line="240" w:lineRule="auto"/>
        <w:rPr>
          <w:rFonts w:ascii="Arial" w:eastAsia="Times New Roman" w:hAnsi="Arial" w:cs="Arial"/>
          <w:sz w:val="28"/>
          <w:szCs w:val="28"/>
        </w:rPr>
      </w:pPr>
      <w:r w:rsidRPr="009B205D">
        <w:rPr>
          <w:rFonts w:ascii="Arial" w:eastAsia="Times New Roman" w:hAnsi="Arial" w:cs="Arial"/>
          <w:sz w:val="28"/>
          <w:szCs w:val="28"/>
        </w:rPr>
        <w:t xml:space="preserve">Date: </w:t>
      </w:r>
      <w:r w:rsidR="004D0B4F">
        <w:rPr>
          <w:rFonts w:ascii="Arial" w:eastAsia="Times New Roman" w:hAnsi="Arial" w:cs="Arial"/>
          <w:sz w:val="28"/>
          <w:szCs w:val="28"/>
        </w:rPr>
        <w:tab/>
      </w:r>
      <w:r w:rsidRPr="009B205D">
        <w:rPr>
          <w:rFonts w:ascii="Arial" w:eastAsia="Times New Roman" w:hAnsi="Arial" w:cs="Arial"/>
          <w:sz w:val="28"/>
          <w:szCs w:val="28"/>
        </w:rPr>
        <w:t xml:space="preserve">December </w:t>
      </w:r>
      <w:r w:rsidR="009B205D" w:rsidRPr="009B205D">
        <w:rPr>
          <w:rFonts w:ascii="Arial" w:eastAsia="Times New Roman" w:hAnsi="Arial" w:cs="Arial"/>
          <w:sz w:val="28"/>
          <w:szCs w:val="28"/>
        </w:rPr>
        <w:t>8</w:t>
      </w:r>
      <w:r w:rsidRPr="009B205D">
        <w:rPr>
          <w:rFonts w:ascii="Arial" w:eastAsia="Times New Roman" w:hAnsi="Arial" w:cs="Arial"/>
          <w:sz w:val="28"/>
          <w:szCs w:val="28"/>
        </w:rPr>
        <w:t>, 2014</w:t>
      </w:r>
    </w:p>
    <w:p w:rsidR="00780B80" w:rsidRPr="009B205D" w:rsidRDefault="00780B80" w:rsidP="00780B80">
      <w:pPr>
        <w:spacing w:after="0" w:line="240" w:lineRule="auto"/>
        <w:rPr>
          <w:rFonts w:ascii="Arial" w:eastAsia="Times New Roman" w:hAnsi="Arial" w:cs="Arial"/>
          <w:b/>
          <w:sz w:val="28"/>
          <w:szCs w:val="28"/>
          <w:u w:val="single"/>
        </w:rPr>
      </w:pPr>
      <w:r w:rsidRPr="009B205D">
        <w:rPr>
          <w:rFonts w:ascii="Arial" w:eastAsia="Times New Roman" w:hAnsi="Arial" w:cs="Arial"/>
          <w:b/>
          <w:sz w:val="28"/>
          <w:szCs w:val="28"/>
        </w:rPr>
        <w:br/>
      </w:r>
      <w:r w:rsidRPr="009B205D">
        <w:rPr>
          <w:rFonts w:ascii="Arial" w:eastAsia="Times New Roman" w:hAnsi="Arial" w:cs="Arial"/>
          <w:b/>
          <w:sz w:val="28"/>
          <w:szCs w:val="28"/>
          <w:u w:val="single"/>
        </w:rPr>
        <w:t>DTA</w:t>
      </w:r>
    </w:p>
    <w:p w:rsidR="00780B80" w:rsidRPr="009B205D" w:rsidRDefault="00780B80" w:rsidP="00780B80">
      <w:pPr>
        <w:spacing w:after="0" w:line="240" w:lineRule="auto"/>
        <w:rPr>
          <w:rFonts w:ascii="Arial" w:eastAsia="Times New Roman" w:hAnsi="Arial" w:cs="Arial"/>
          <w:sz w:val="28"/>
          <w:szCs w:val="28"/>
        </w:rPr>
      </w:pPr>
      <w:r w:rsidRPr="009B205D">
        <w:rPr>
          <w:rFonts w:ascii="Arial" w:eastAsia="Times New Roman" w:hAnsi="Arial" w:cs="Arial"/>
          <w:sz w:val="28"/>
          <w:szCs w:val="28"/>
        </w:rPr>
        <w:t>The Department of Transitional Assistance serves 1 in 8 Massachusetts residents, helping them meet their basic needs by building a bridge to stability through its four major programs, the Supplemental Nutrition Assistance Program (SNAP), and three cash assistance programs: Transitional Aid to Families with Dependent Children (TAFDC), Emergency Aid to the Elderly, Disabled, and Children (EAEDC), and the SSI State Supplemental Program (SSI/SSP). Our clients are most often elders, disabled individuals and families with children who face significant barriers to economic self-sufficiency.</w:t>
      </w:r>
    </w:p>
    <w:p w:rsidR="00780B80" w:rsidRPr="009B205D" w:rsidRDefault="00780B80" w:rsidP="00780B80">
      <w:pPr>
        <w:spacing w:after="0" w:line="240" w:lineRule="auto"/>
        <w:rPr>
          <w:rFonts w:ascii="Arial" w:eastAsia="Times New Roman" w:hAnsi="Arial" w:cs="Arial"/>
          <w:sz w:val="28"/>
          <w:szCs w:val="28"/>
        </w:rPr>
      </w:pPr>
    </w:p>
    <w:p w:rsidR="00780B80" w:rsidRPr="009B205D" w:rsidRDefault="00780B80" w:rsidP="00780B80">
      <w:pPr>
        <w:spacing w:after="0" w:line="240" w:lineRule="auto"/>
        <w:rPr>
          <w:rFonts w:ascii="Arial" w:eastAsia="Times New Roman" w:hAnsi="Arial" w:cs="Arial"/>
          <w:b/>
          <w:sz w:val="28"/>
          <w:szCs w:val="28"/>
          <w:u w:val="single"/>
        </w:rPr>
      </w:pPr>
      <w:r w:rsidRPr="009B205D">
        <w:rPr>
          <w:rFonts w:ascii="Arial" w:eastAsia="Times New Roman" w:hAnsi="Arial" w:cs="Arial"/>
          <w:b/>
          <w:sz w:val="28"/>
          <w:szCs w:val="28"/>
          <w:u w:val="single"/>
        </w:rPr>
        <w:t>Action Plans</w:t>
      </w:r>
    </w:p>
    <w:p w:rsidR="00780B80" w:rsidRPr="009B205D" w:rsidRDefault="00780B80" w:rsidP="00666469">
      <w:pPr>
        <w:spacing w:after="0" w:line="240" w:lineRule="auto"/>
        <w:rPr>
          <w:rFonts w:ascii="Arial" w:eastAsia="Times New Roman" w:hAnsi="Arial" w:cs="Arial"/>
          <w:sz w:val="28"/>
          <w:szCs w:val="28"/>
        </w:rPr>
      </w:pPr>
      <w:r w:rsidRPr="009B205D">
        <w:rPr>
          <w:rFonts w:ascii="Arial" w:eastAsia="Times New Roman" w:hAnsi="Arial" w:cs="Arial"/>
          <w:sz w:val="28"/>
          <w:szCs w:val="28"/>
        </w:rPr>
        <w:t xml:space="preserve">As a result of having identified areas </w:t>
      </w:r>
      <w:r w:rsidR="00F63675" w:rsidRPr="009B205D">
        <w:rPr>
          <w:rFonts w:ascii="Arial" w:eastAsia="Times New Roman" w:hAnsi="Arial" w:cs="Arial"/>
          <w:sz w:val="28"/>
          <w:szCs w:val="28"/>
        </w:rPr>
        <w:t>for</w:t>
      </w:r>
      <w:r w:rsidRPr="009B205D">
        <w:rPr>
          <w:rFonts w:ascii="Arial" w:eastAsia="Times New Roman" w:hAnsi="Arial" w:cs="Arial"/>
          <w:sz w:val="28"/>
          <w:szCs w:val="28"/>
        </w:rPr>
        <w:t xml:space="preserve"> needed improvement in the department, DTA undertook a series of actions to address needed program integrity measures and program enhancements to ensure only those who are eligible to receive benefits are those who receive them.  The associated action plans are </w:t>
      </w:r>
      <w:r w:rsidR="00666469" w:rsidRPr="009B205D">
        <w:rPr>
          <w:rFonts w:ascii="Arial" w:eastAsia="Times New Roman" w:hAnsi="Arial" w:cs="Arial"/>
          <w:sz w:val="28"/>
          <w:szCs w:val="28"/>
        </w:rPr>
        <w:t xml:space="preserve">noted </w:t>
      </w:r>
      <w:r w:rsidRPr="009B205D">
        <w:rPr>
          <w:rFonts w:ascii="Arial" w:eastAsia="Times New Roman" w:hAnsi="Arial" w:cs="Arial"/>
          <w:sz w:val="28"/>
          <w:szCs w:val="28"/>
        </w:rPr>
        <w:t>in the 18-month plan</w:t>
      </w:r>
      <w:r w:rsidR="00666469" w:rsidRPr="009B205D">
        <w:rPr>
          <w:rFonts w:ascii="Arial" w:eastAsia="Times New Roman" w:hAnsi="Arial" w:cs="Arial"/>
          <w:sz w:val="28"/>
          <w:szCs w:val="28"/>
        </w:rPr>
        <w:t xml:space="preserve"> below</w:t>
      </w:r>
      <w:r w:rsidRPr="009B205D">
        <w:rPr>
          <w:rFonts w:ascii="Arial" w:eastAsia="Times New Roman" w:hAnsi="Arial" w:cs="Arial"/>
          <w:sz w:val="28"/>
          <w:szCs w:val="28"/>
        </w:rPr>
        <w:t>.</w:t>
      </w:r>
    </w:p>
    <w:p w:rsidR="00780B80" w:rsidRPr="009B205D" w:rsidRDefault="00780B80" w:rsidP="00666469">
      <w:pPr>
        <w:spacing w:after="0" w:line="240" w:lineRule="auto"/>
        <w:rPr>
          <w:rFonts w:ascii="Arial" w:eastAsia="Times New Roman" w:hAnsi="Arial" w:cs="Arial"/>
          <w:sz w:val="28"/>
          <w:szCs w:val="28"/>
        </w:rPr>
      </w:pPr>
    </w:p>
    <w:p w:rsidR="00780B80" w:rsidRPr="009B205D" w:rsidRDefault="00780B80" w:rsidP="00666469">
      <w:pPr>
        <w:spacing w:after="0" w:line="240" w:lineRule="auto"/>
        <w:rPr>
          <w:rFonts w:ascii="Arial" w:eastAsia="Times New Roman" w:hAnsi="Arial" w:cs="Arial"/>
          <w:sz w:val="28"/>
          <w:szCs w:val="28"/>
        </w:rPr>
      </w:pPr>
      <w:r w:rsidRPr="009B205D">
        <w:rPr>
          <w:rFonts w:ascii="Arial" w:eastAsia="Times New Roman" w:hAnsi="Arial" w:cs="Arial"/>
          <w:sz w:val="28"/>
          <w:szCs w:val="28"/>
        </w:rPr>
        <w:t>In addition, in order to ensure the day to day infrastructure of the offices was most efficient and effective, the department also launched, on October 27, 2014, the Business Process Redesign (BPR) effort.  BPR allows the department to move away from a caseload based system for SNAP to a First Available Worker system, allowing any worker throughout the state to assist any SNAP client. This redesign helped improve workers’ lives and deliver benefits to eligible clients more quickly.</w:t>
      </w:r>
    </w:p>
    <w:p w:rsidR="00780B80" w:rsidRPr="009B205D" w:rsidRDefault="00780B80" w:rsidP="00780B80">
      <w:pPr>
        <w:spacing w:after="0" w:line="240" w:lineRule="auto"/>
        <w:rPr>
          <w:rFonts w:ascii="Arial" w:eastAsia="Times New Roman" w:hAnsi="Arial" w:cs="Arial"/>
          <w:sz w:val="28"/>
          <w:szCs w:val="28"/>
        </w:rPr>
      </w:pPr>
    </w:p>
    <w:tbl>
      <w:tblPr>
        <w:tblpPr w:leftFromText="180" w:rightFromText="180" w:vertAnchor="page" w:horzAnchor="margin" w:tblpXSpec="center" w:tblpY="9991"/>
        <w:tblW w:w="5977" w:type="pct"/>
        <w:tblLook w:val="01E0" w:firstRow="1" w:lastRow="1" w:firstColumn="1" w:lastColumn="1" w:noHBand="0" w:noVBand="0"/>
      </w:tblPr>
      <w:tblGrid>
        <w:gridCol w:w="2164"/>
        <w:gridCol w:w="3263"/>
        <w:gridCol w:w="34"/>
        <w:gridCol w:w="1901"/>
        <w:gridCol w:w="47"/>
        <w:gridCol w:w="15"/>
        <w:gridCol w:w="4023"/>
      </w:tblGrid>
      <w:tr w:rsidR="00780B80" w:rsidRPr="009B205D" w:rsidTr="00780B80">
        <w:trPr>
          <w:trHeight w:hRule="exact" w:val="374"/>
        </w:trPr>
        <w:tc>
          <w:tcPr>
            <w:tcW w:w="5000" w:type="pct"/>
            <w:gridSpan w:val="7"/>
            <w:tcBorders>
              <w:top w:val="single" w:sz="4" w:space="0" w:color="auto"/>
              <w:left w:val="single" w:sz="4" w:space="0" w:color="auto"/>
              <w:bottom w:val="single" w:sz="4" w:space="0" w:color="auto"/>
              <w:right w:val="single" w:sz="4" w:space="0" w:color="auto"/>
            </w:tcBorders>
            <w:shd w:val="clear" w:color="auto" w:fill="000000"/>
            <w:vAlign w:val="center"/>
          </w:tcPr>
          <w:p w:rsidR="00780B80" w:rsidRPr="009B205D" w:rsidRDefault="00666469" w:rsidP="00780B80">
            <w:pPr>
              <w:jc w:val="center"/>
              <w:rPr>
                <w:rFonts w:ascii="Arial" w:hAnsi="Arial" w:cs="Arial"/>
                <w:color w:val="FFFFFF"/>
                <w:sz w:val="28"/>
                <w:szCs w:val="28"/>
              </w:rPr>
            </w:pPr>
            <w:r w:rsidRPr="009B205D">
              <w:rPr>
                <w:rFonts w:ascii="Arial" w:hAnsi="Arial" w:cs="Arial"/>
                <w:color w:val="FFFFFF"/>
                <w:sz w:val="28"/>
                <w:szCs w:val="28"/>
              </w:rPr>
              <w:lastRenderedPageBreak/>
              <w:t>18 Month Action Plan</w:t>
            </w:r>
          </w:p>
        </w:tc>
      </w:tr>
      <w:tr w:rsidR="00780B80" w:rsidRPr="009B205D" w:rsidTr="00780B80">
        <w:tblPrEx>
          <w:tblCellMar>
            <w:left w:w="14" w:type="dxa"/>
            <w:right w:w="14" w:type="dxa"/>
          </w:tblCellMar>
        </w:tblPrEx>
        <w:trPr>
          <w:trHeight w:val="432"/>
        </w:trPr>
        <w:tc>
          <w:tcPr>
            <w:tcW w:w="5000" w:type="pct"/>
            <w:gridSpan w:val="7"/>
            <w:tcBorders>
              <w:top w:val="single" w:sz="4" w:space="0" w:color="auto"/>
              <w:bottom w:val="single" w:sz="4" w:space="0" w:color="C4BC96"/>
            </w:tcBorders>
            <w:shd w:val="clear" w:color="auto" w:fill="EEECE1"/>
            <w:vAlign w:val="center"/>
          </w:tcPr>
          <w:p w:rsidR="00780B80" w:rsidRPr="009B205D" w:rsidRDefault="00780B80" w:rsidP="00780B80">
            <w:pPr>
              <w:pStyle w:val="Normal1"/>
              <w:spacing w:line="240" w:lineRule="atLeast"/>
              <w:rPr>
                <w:rFonts w:ascii="Arial" w:hAnsi="Arial" w:cs="Arial"/>
                <w:sz w:val="28"/>
                <w:szCs w:val="28"/>
              </w:rPr>
            </w:pPr>
            <w:r w:rsidRPr="009B205D">
              <w:rPr>
                <w:rFonts w:ascii="Arial" w:hAnsi="Arial" w:cs="Arial"/>
                <w:b/>
                <w:sz w:val="28"/>
                <w:szCs w:val="28"/>
              </w:rPr>
              <w:t>EBT-RELATED PROGRAM INTEGRITY ENCHANCEMENTS</w:t>
            </w:r>
          </w:p>
        </w:tc>
      </w:tr>
      <w:tr w:rsidR="00780B80" w:rsidRPr="009B205D" w:rsidTr="00780B80">
        <w:tblPrEx>
          <w:tblCellMar>
            <w:left w:w="14" w:type="dxa"/>
            <w:right w:w="14" w:type="dxa"/>
          </w:tblCellMar>
        </w:tblPrEx>
        <w:trPr>
          <w:trHeight w:val="395"/>
        </w:trPr>
        <w:tc>
          <w:tcPr>
            <w:tcW w:w="833" w:type="pct"/>
            <w:tcBorders>
              <w:top w:val="single" w:sz="4" w:space="0" w:color="C4BC96"/>
              <w:left w:val="single" w:sz="4" w:space="0" w:color="C4BC96"/>
              <w:bottom w:val="single" w:sz="4" w:space="0" w:color="C4BC96"/>
              <w:right w:val="single" w:sz="4" w:space="0" w:color="C4BC96"/>
            </w:tcBorders>
            <w:shd w:val="clear" w:color="auto" w:fill="DDD9C3"/>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Enhancements</w:t>
            </w:r>
          </w:p>
        </w:tc>
        <w:tc>
          <w:tcPr>
            <w:tcW w:w="1444" w:type="pct"/>
            <w:tcBorders>
              <w:top w:val="single" w:sz="4" w:space="0" w:color="C4BC96"/>
              <w:left w:val="single" w:sz="4" w:space="0" w:color="C4BC96"/>
              <w:bottom w:val="single" w:sz="4" w:space="0" w:color="C4BC96"/>
              <w:right w:val="single" w:sz="4" w:space="0" w:color="C4BC96"/>
            </w:tcBorders>
            <w:shd w:val="clear" w:color="auto" w:fill="DDD9C3"/>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Initiative Descriptions</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DDD9C3"/>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Status</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DDD9C3"/>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Goals</w:t>
            </w:r>
          </w:p>
        </w:tc>
      </w:tr>
      <w:tr w:rsidR="00780B80" w:rsidRPr="009B205D" w:rsidTr="00780B80">
        <w:tblPrEx>
          <w:tblCellMar>
            <w:left w:w="14" w:type="dxa"/>
            <w:right w:w="14" w:type="dxa"/>
          </w:tblCellMar>
        </w:tblPrEx>
        <w:trPr>
          <w:trHeight w:val="122"/>
        </w:trPr>
        <w:tc>
          <w:tcPr>
            <w:tcW w:w="5000" w:type="pct"/>
            <w:gridSpan w:val="7"/>
            <w:tcBorders>
              <w:top w:val="single" w:sz="4" w:space="0" w:color="C4BC96"/>
              <w:left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p>
        </w:tc>
      </w:tr>
      <w:tr w:rsidR="00780B80" w:rsidRPr="009B205D" w:rsidTr="00780B80">
        <w:tblPrEx>
          <w:tblCellMar>
            <w:left w:w="14" w:type="dxa"/>
            <w:right w:w="14" w:type="dxa"/>
          </w:tblCellMar>
        </w:tblPrEx>
        <w:trPr>
          <w:trHeight w:val="108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State Law Enforcement Bureau (SLEB) Agreement</w:t>
            </w:r>
          </w:p>
        </w:tc>
        <w:tc>
          <w:tcPr>
            <w:tcW w:w="144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The agreement will allow DTA and local law enforcement to investigate SNAP trafficking, enhance program integrity, and protect benefits for those who truly need them.</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r w:rsidRPr="009B205D">
              <w:rPr>
                <w:rFonts w:ascii="Arial" w:hAnsi="Arial" w:cs="Arial"/>
                <w:b/>
                <w:sz w:val="28"/>
                <w:szCs w:val="28"/>
              </w:rPr>
              <w:t xml:space="preserve">Implemented </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rPr>
                <w:rFonts w:ascii="Arial" w:hAnsi="Arial" w:cs="Arial"/>
                <w:b/>
                <w:sz w:val="28"/>
                <w:szCs w:val="28"/>
              </w:rPr>
            </w:pPr>
            <w:r w:rsidRPr="009B205D">
              <w:rPr>
                <w:rFonts w:ascii="Arial" w:hAnsi="Arial" w:cs="Arial"/>
                <w:sz w:val="28"/>
                <w:szCs w:val="28"/>
              </w:rPr>
              <w:t xml:space="preserve">DTA has entered into agreements allowing for joint investigations and </w:t>
            </w:r>
            <w:r w:rsidR="001565EF" w:rsidRPr="009B205D">
              <w:rPr>
                <w:rFonts w:ascii="Arial" w:hAnsi="Arial" w:cs="Arial"/>
                <w:sz w:val="28"/>
                <w:szCs w:val="28"/>
              </w:rPr>
              <w:t>continues to work</w:t>
            </w:r>
            <w:r w:rsidRPr="009B205D">
              <w:rPr>
                <w:rFonts w:ascii="Arial" w:hAnsi="Arial" w:cs="Arial"/>
                <w:sz w:val="28"/>
                <w:szCs w:val="28"/>
              </w:rPr>
              <w:t xml:space="preserve"> with local law enforcement to enter into additional agreements. </w:t>
            </w:r>
          </w:p>
        </w:tc>
      </w:tr>
      <w:tr w:rsidR="00780B80" w:rsidRPr="009B205D" w:rsidTr="001565EF">
        <w:tblPrEx>
          <w:tblCellMar>
            <w:left w:w="14" w:type="dxa"/>
            <w:right w:w="14" w:type="dxa"/>
          </w:tblCellMar>
        </w:tblPrEx>
        <w:trPr>
          <w:trHeight w:val="179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ATM / POS Blocking</w:t>
            </w:r>
          </w:p>
        </w:tc>
        <w:tc>
          <w:tcPr>
            <w:tcW w:w="144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 xml:space="preserve">Working with its vendor, Xerox, DTA will have the ability to block ATM and POS use at restricted locations, tightening its controls on cash assistance and fulfilling legislative mandates. </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r w:rsidRPr="009B205D">
              <w:rPr>
                <w:rFonts w:ascii="Arial" w:hAnsi="Arial" w:cs="Arial"/>
                <w:b/>
                <w:sz w:val="28"/>
                <w:szCs w:val="28"/>
              </w:rPr>
              <w:t>Complete</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1565EF" w:rsidP="001565EF">
            <w:pPr>
              <w:pStyle w:val="Comments"/>
              <w:rPr>
                <w:rFonts w:ascii="Arial" w:hAnsi="Arial" w:cs="Arial"/>
                <w:b/>
                <w:sz w:val="28"/>
                <w:szCs w:val="28"/>
              </w:rPr>
            </w:pPr>
            <w:r w:rsidRPr="009B205D">
              <w:rPr>
                <w:rFonts w:ascii="Arial" w:hAnsi="Arial" w:cs="Arial"/>
                <w:sz w:val="28"/>
                <w:szCs w:val="28"/>
              </w:rPr>
              <w:t>DTA has</w:t>
            </w:r>
            <w:r w:rsidR="00780B80" w:rsidRPr="009B205D">
              <w:rPr>
                <w:rFonts w:ascii="Arial" w:hAnsi="Arial" w:cs="Arial"/>
                <w:sz w:val="28"/>
                <w:szCs w:val="28"/>
              </w:rPr>
              <w:t xml:space="preserve"> blocked </w:t>
            </w:r>
            <w:r w:rsidRPr="009B205D">
              <w:rPr>
                <w:rFonts w:ascii="Arial" w:hAnsi="Arial" w:cs="Arial"/>
                <w:sz w:val="28"/>
                <w:szCs w:val="28"/>
              </w:rPr>
              <w:t>close to 1000</w:t>
            </w:r>
            <w:r w:rsidR="00780B80" w:rsidRPr="009B205D">
              <w:rPr>
                <w:rFonts w:ascii="Arial" w:hAnsi="Arial" w:cs="Arial"/>
                <w:sz w:val="28"/>
                <w:szCs w:val="28"/>
              </w:rPr>
              <w:t xml:space="preserve"> ATM and Point of Sale locations across the Commonwealth. DTA continues to receive bi-weekly reports and identify prohibited stores. The overall goal for this initiative is to reduce use of cash benefits on prohibited purchases. </w:t>
            </w:r>
          </w:p>
        </w:tc>
      </w:tr>
      <w:tr w:rsidR="00780B80" w:rsidRPr="009B205D" w:rsidTr="00780B80">
        <w:tblPrEx>
          <w:tblCellMar>
            <w:left w:w="14" w:type="dxa"/>
            <w:right w:w="14" w:type="dxa"/>
          </w:tblCellMar>
        </w:tblPrEx>
        <w:trPr>
          <w:trHeight w:val="108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ATM / POS Transaction Monitoring</w:t>
            </w:r>
          </w:p>
        </w:tc>
        <w:tc>
          <w:tcPr>
            <w:tcW w:w="144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launched bi-weekly monitoring of ATM and POS withdrawals to identify purchases made at prohibited establishments, will notify retailers, clients, and law enforcement of violations.</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r w:rsidRPr="009B205D">
              <w:rPr>
                <w:rFonts w:ascii="Arial" w:hAnsi="Arial" w:cs="Arial"/>
                <w:b/>
                <w:sz w:val="28"/>
                <w:szCs w:val="28"/>
              </w:rPr>
              <w:t xml:space="preserve">On-going </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304F86">
            <w:pPr>
              <w:pStyle w:val="Comments"/>
              <w:ind w:left="0"/>
              <w:rPr>
                <w:rFonts w:ascii="Arial" w:hAnsi="Arial" w:cs="Arial"/>
                <w:sz w:val="28"/>
                <w:szCs w:val="28"/>
              </w:rPr>
            </w:pPr>
            <w:r w:rsidRPr="009B205D">
              <w:rPr>
                <w:rFonts w:ascii="Arial" w:hAnsi="Arial" w:cs="Arial"/>
                <w:sz w:val="28"/>
                <w:szCs w:val="28"/>
              </w:rPr>
              <w:t>The overall goal for this initiative was to reduce use of cash benefits on prohibited purchases. This monitoring will continue on a bi-weekly basis and lead to the identification of additional prohibited locations.  To date, DTA has reviewed million</w:t>
            </w:r>
            <w:r w:rsidR="00304F86" w:rsidRPr="009B205D">
              <w:rPr>
                <w:rFonts w:ascii="Arial" w:hAnsi="Arial" w:cs="Arial"/>
                <w:sz w:val="28"/>
                <w:szCs w:val="28"/>
              </w:rPr>
              <w:t>s of</w:t>
            </w:r>
            <w:r w:rsidRPr="009B205D">
              <w:rPr>
                <w:rFonts w:ascii="Arial" w:hAnsi="Arial" w:cs="Arial"/>
                <w:sz w:val="28"/>
                <w:szCs w:val="28"/>
              </w:rPr>
              <w:t xml:space="preserve"> transactions in </w:t>
            </w:r>
            <w:r w:rsidR="00304F86" w:rsidRPr="009B205D">
              <w:rPr>
                <w:rFonts w:ascii="Arial" w:hAnsi="Arial" w:cs="Arial"/>
                <w:sz w:val="28"/>
                <w:szCs w:val="28"/>
              </w:rPr>
              <w:t xml:space="preserve">more than </w:t>
            </w:r>
            <w:r w:rsidRPr="009B205D">
              <w:rPr>
                <w:rFonts w:ascii="Arial" w:hAnsi="Arial" w:cs="Arial"/>
                <w:sz w:val="28"/>
                <w:szCs w:val="28"/>
              </w:rPr>
              <w:t xml:space="preserve">16,000 unique locations and has inspected </w:t>
            </w:r>
            <w:r w:rsidR="001565EF" w:rsidRPr="009B205D">
              <w:rPr>
                <w:rFonts w:ascii="Arial" w:hAnsi="Arial" w:cs="Arial"/>
                <w:sz w:val="28"/>
                <w:szCs w:val="28"/>
              </w:rPr>
              <w:t>several hundred</w:t>
            </w:r>
            <w:r w:rsidRPr="009B205D">
              <w:rPr>
                <w:rFonts w:ascii="Arial" w:hAnsi="Arial" w:cs="Arial"/>
                <w:sz w:val="28"/>
                <w:szCs w:val="28"/>
              </w:rPr>
              <w:t xml:space="preserve"> stores.</w:t>
            </w:r>
          </w:p>
        </w:tc>
      </w:tr>
      <w:tr w:rsidR="00780B80" w:rsidRPr="009B205D" w:rsidTr="00780B80">
        <w:tblPrEx>
          <w:tblCellMar>
            <w:left w:w="14" w:type="dxa"/>
            <w:right w:w="14" w:type="dxa"/>
          </w:tblCellMar>
        </w:tblPrEx>
        <w:trPr>
          <w:trHeight w:val="89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Implement $5 fee for replacement EBT cards</w:t>
            </w:r>
          </w:p>
        </w:tc>
        <w:tc>
          <w:tcPr>
            <w:tcW w:w="144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implemented $5 fee for replacements EBT cards for both SNAP and cash assistance clients.</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166"/>
              <w:rPr>
                <w:rFonts w:ascii="Arial" w:hAnsi="Arial" w:cs="Arial"/>
                <w:sz w:val="28"/>
                <w:szCs w:val="28"/>
              </w:rPr>
            </w:pPr>
            <w:r w:rsidRPr="009B205D">
              <w:rPr>
                <w:rFonts w:ascii="Arial" w:hAnsi="Arial" w:cs="Arial"/>
                <w:b/>
                <w:sz w:val="28"/>
                <w:szCs w:val="28"/>
              </w:rPr>
              <w:t>Implemented</w:t>
            </w:r>
            <w:r w:rsidRPr="009B205D">
              <w:rPr>
                <w:rFonts w:ascii="Arial" w:hAnsi="Arial" w:cs="Arial"/>
                <w:sz w:val="28"/>
                <w:szCs w:val="28"/>
              </w:rPr>
              <w:t xml:space="preserve"> </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 xml:space="preserve">The fee is aimed at reducing the issuance of EBT replacement cards and identifies potential SNAP trafficking or fraud.  </w:t>
            </w:r>
          </w:p>
        </w:tc>
      </w:tr>
      <w:tr w:rsidR="00780B80" w:rsidRPr="009B205D" w:rsidTr="00780B80">
        <w:tblPrEx>
          <w:tblCellMar>
            <w:left w:w="14" w:type="dxa"/>
            <w:right w:w="14" w:type="dxa"/>
          </w:tblCellMar>
        </w:tblPrEx>
        <w:trPr>
          <w:trHeight w:val="116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lastRenderedPageBreak/>
              <w:t>Notice and monitor clients who request multiple EBT card replacements</w:t>
            </w:r>
          </w:p>
        </w:tc>
        <w:tc>
          <w:tcPr>
            <w:tcW w:w="144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 xml:space="preserve">DTA instituted new notice and review processes that require clients who have received three or more EBT replacement cards to meet with the office director/assistant director prior to a card being reissued. </w:t>
            </w:r>
          </w:p>
        </w:tc>
        <w:tc>
          <w:tcPr>
            <w:tcW w:w="892"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b/>
                <w:sz w:val="28"/>
                <w:szCs w:val="28"/>
              </w:rPr>
              <w:t xml:space="preserve"> Implemented</w:t>
            </w:r>
          </w:p>
        </w:tc>
        <w:tc>
          <w:tcPr>
            <w:tcW w:w="1831" w:type="pct"/>
            <w:gridSpan w:val="2"/>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 xml:space="preserve">Combined with </w:t>
            </w:r>
            <w:r w:rsidR="001565EF" w:rsidRPr="009B205D">
              <w:rPr>
                <w:rFonts w:ascii="Arial" w:hAnsi="Arial" w:cs="Arial"/>
                <w:sz w:val="28"/>
                <w:szCs w:val="28"/>
              </w:rPr>
              <w:t xml:space="preserve">the </w:t>
            </w:r>
            <w:r w:rsidRPr="009B205D">
              <w:rPr>
                <w:rFonts w:ascii="Arial" w:hAnsi="Arial" w:cs="Arial"/>
                <w:sz w:val="28"/>
                <w:szCs w:val="28"/>
              </w:rPr>
              <w:t xml:space="preserve">$5 fee, this is aimed at reducing the issuance of EBT replacement cards and identifying potential SNAP trafficking or fraud.  DTA has seen a </w:t>
            </w:r>
            <w:r w:rsidR="001565EF" w:rsidRPr="009B205D">
              <w:rPr>
                <w:rFonts w:ascii="Arial" w:hAnsi="Arial" w:cs="Arial"/>
                <w:sz w:val="28"/>
                <w:szCs w:val="28"/>
              </w:rPr>
              <w:t>dramatic</w:t>
            </w:r>
            <w:r w:rsidRPr="009B205D">
              <w:rPr>
                <w:rFonts w:ascii="Arial" w:hAnsi="Arial" w:cs="Arial"/>
                <w:sz w:val="28"/>
                <w:szCs w:val="28"/>
              </w:rPr>
              <w:t xml:space="preserve"> drop in high volume requests for replacement cards. </w:t>
            </w:r>
          </w:p>
        </w:tc>
      </w:tr>
      <w:tr w:rsidR="00780B80" w:rsidRPr="009B205D" w:rsidTr="00780B80">
        <w:tblPrEx>
          <w:tblCellMar>
            <w:left w:w="14" w:type="dxa"/>
            <w:right w:w="14" w:type="dxa"/>
          </w:tblCellMar>
          <w:tblLook w:val="00A0" w:firstRow="1" w:lastRow="0" w:firstColumn="1" w:lastColumn="0" w:noHBand="0" w:noVBand="0"/>
        </w:tblPrEx>
        <w:trPr>
          <w:trHeight w:val="432"/>
        </w:trPr>
        <w:tc>
          <w:tcPr>
            <w:tcW w:w="5000" w:type="pct"/>
            <w:gridSpan w:val="7"/>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b/>
                <w:sz w:val="28"/>
                <w:szCs w:val="28"/>
              </w:rPr>
            </w:pPr>
            <w:r w:rsidRPr="009B205D">
              <w:rPr>
                <w:rFonts w:ascii="Arial" w:hAnsi="Arial" w:cs="Arial"/>
                <w:b/>
                <w:sz w:val="28"/>
                <w:szCs w:val="28"/>
              </w:rPr>
              <w:t>FRONT END DETECTION &amp; ENHANCED MATCHES</w:t>
            </w:r>
          </w:p>
        </w:tc>
      </w:tr>
      <w:tr w:rsidR="00780B80" w:rsidRPr="009B205D" w:rsidTr="00780B80">
        <w:tblPrEx>
          <w:tblCellMar>
            <w:left w:w="14" w:type="dxa"/>
            <w:right w:w="14" w:type="dxa"/>
          </w:tblCellMar>
          <w:tblLook w:val="00A0" w:firstRow="1" w:lastRow="0" w:firstColumn="1" w:lastColumn="0" w:noHBand="0" w:noVBand="0"/>
        </w:tblPrEx>
        <w:trPr>
          <w:trHeight w:val="512"/>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Enhancements</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Initiative Descriptions</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Status</w:t>
            </w:r>
          </w:p>
        </w:tc>
        <w:tc>
          <w:tcPr>
            <w:tcW w:w="1818"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Goals</w:t>
            </w:r>
          </w:p>
        </w:tc>
      </w:tr>
      <w:tr w:rsidR="00780B80" w:rsidRPr="009B205D" w:rsidTr="00780B80">
        <w:tblPrEx>
          <w:tblCellMar>
            <w:left w:w="14" w:type="dxa"/>
            <w:right w:w="14" w:type="dxa"/>
          </w:tblCellMar>
          <w:tblLook w:val="00A0" w:firstRow="1" w:lastRow="0" w:firstColumn="1" w:lastColumn="0" w:noHBand="0" w:noVBand="0"/>
        </w:tblPrEx>
        <w:trPr>
          <w:trHeight w:val="2096"/>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t>Dept. of Revenue Match</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pilot match has been completed; full implementation is pending legislative language approval. The match will make employment information of all household members available at the time of eligibility determination, and expands data received by DTA to include self-employment income, rental income, and alimony.</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Pilot Implemented</w:t>
            </w:r>
          </w:p>
          <w:p w:rsidR="00780B80" w:rsidRPr="009B205D" w:rsidRDefault="00780B80" w:rsidP="00780B80">
            <w:pPr>
              <w:pStyle w:val="Comments"/>
              <w:rPr>
                <w:rFonts w:ascii="Arial" w:hAnsi="Arial" w:cs="Arial"/>
                <w:b/>
                <w:sz w:val="28"/>
                <w:szCs w:val="28"/>
              </w:rPr>
            </w:pPr>
          </w:p>
          <w:p w:rsidR="00780B80" w:rsidRPr="009B205D" w:rsidRDefault="00780B80" w:rsidP="00780B80">
            <w:pPr>
              <w:pStyle w:val="Comments"/>
              <w:rPr>
                <w:rFonts w:ascii="Arial" w:hAnsi="Arial" w:cs="Arial"/>
                <w:b/>
                <w:sz w:val="28"/>
                <w:szCs w:val="28"/>
              </w:rPr>
            </w:pP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The match has reduced the number of people who are ineligible from receiving benefits on the front-end, as caseworkers will have access to most current income and financial status to determine client eligibility. In addition, caseworkers will be able to close cases of those who exceed asset limits. This will eliminate the previous ‘pay and chase’ process and is part of DTA’s focus on front-end eligibility determinations.</w:t>
            </w:r>
          </w:p>
        </w:tc>
      </w:tr>
      <w:tr w:rsidR="00780B80" w:rsidRPr="009B205D" w:rsidTr="00780B80">
        <w:tblPrEx>
          <w:tblCellMar>
            <w:left w:w="14" w:type="dxa"/>
            <w:right w:w="14" w:type="dxa"/>
          </w:tblCellMar>
          <w:tblLook w:val="00A0" w:firstRow="1" w:lastRow="0" w:firstColumn="1" w:lastColumn="0" w:noHBand="0" w:noVBand="0"/>
        </w:tblPrEx>
        <w:trPr>
          <w:trHeight w:val="108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t>Registry of Motor Vehicles Match</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New match will allow DTA to verify all vehicles owned by the applicant to eliminate reliance on client self-disclosures. The match will also allow DTA the ability to crosscheck license photos for identification purposes.</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r w:rsidRPr="009B205D">
              <w:rPr>
                <w:rFonts w:ascii="Arial" w:hAnsi="Arial" w:cs="Arial"/>
                <w:b/>
                <w:sz w:val="28"/>
                <w:szCs w:val="28"/>
              </w:rPr>
              <w:t>Implemented</w:t>
            </w: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The match will reduce the number of people who are ineligible from receiving benefits on the front-end, as we will have the capability to verify client eligibility and assets resulting in increased denials and case closures. This will eliminate the previous ‘pay and chase’ process and is part of DTA’s focus on front-end eligibility determinations.</w:t>
            </w:r>
          </w:p>
        </w:tc>
      </w:tr>
      <w:tr w:rsidR="00780B80" w:rsidRPr="009B205D" w:rsidTr="001565EF">
        <w:tblPrEx>
          <w:tblCellMar>
            <w:left w:w="14" w:type="dxa"/>
            <w:right w:w="14" w:type="dxa"/>
          </w:tblCellMar>
          <w:tblLook w:val="00A0" w:firstRow="1" w:lastRow="0" w:firstColumn="1" w:lastColumn="0" w:noHBand="0" w:noVBand="0"/>
        </w:tblPrEx>
        <w:trPr>
          <w:trHeight w:val="152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lastRenderedPageBreak/>
              <w:t>Dept. of Elementary and Secondary Education Match</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 xml:space="preserve">DTA now verifying statewide school attendance via new electronic data match, addressing issue raised in inspector general’s report.  </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166"/>
              <w:rPr>
                <w:rFonts w:ascii="Arial" w:hAnsi="Arial" w:cs="Arial"/>
                <w:b/>
                <w:sz w:val="28"/>
                <w:szCs w:val="28"/>
              </w:rPr>
            </w:pPr>
            <w:r w:rsidRPr="009B205D">
              <w:rPr>
                <w:rFonts w:ascii="Arial" w:hAnsi="Arial" w:cs="Arial"/>
                <w:b/>
                <w:sz w:val="28"/>
                <w:szCs w:val="28"/>
              </w:rPr>
              <w:t xml:space="preserve">Implemented </w:t>
            </w:r>
            <w:r w:rsidRPr="009B205D">
              <w:rPr>
                <w:rFonts w:ascii="Arial" w:hAnsi="Arial" w:cs="Arial"/>
                <w:sz w:val="28"/>
                <w:szCs w:val="28"/>
              </w:rPr>
              <w:t xml:space="preserve"> </w:t>
            </w: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304F86">
            <w:pPr>
              <w:pStyle w:val="Comments"/>
              <w:ind w:left="0"/>
              <w:rPr>
                <w:rFonts w:ascii="Arial" w:hAnsi="Arial" w:cs="Arial"/>
                <w:sz w:val="28"/>
                <w:szCs w:val="28"/>
              </w:rPr>
            </w:pPr>
            <w:r w:rsidRPr="009B205D">
              <w:rPr>
                <w:rFonts w:ascii="Arial" w:hAnsi="Arial" w:cs="Arial"/>
                <w:sz w:val="28"/>
                <w:szCs w:val="28"/>
              </w:rPr>
              <w:t xml:space="preserve">DTA is intervening at four absences in the quarter in order to avoid a sanction and benefit reduction for the client and to assist in family stabilization, with the goal of keeping children in school. </w:t>
            </w:r>
          </w:p>
        </w:tc>
      </w:tr>
      <w:tr w:rsidR="00780B80" w:rsidRPr="009B205D" w:rsidTr="00780B80">
        <w:tblPrEx>
          <w:tblCellMar>
            <w:left w:w="14" w:type="dxa"/>
            <w:right w:w="14" w:type="dxa"/>
          </w:tblCellMar>
          <w:tblLook w:val="00A0" w:firstRow="1" w:lastRow="0" w:firstColumn="1" w:lastColumn="0" w:noHBand="0" w:noVBand="0"/>
        </w:tblPrEx>
        <w:trPr>
          <w:trHeight w:val="108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Department of Correction Match</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sz w:val="28"/>
                <w:szCs w:val="28"/>
              </w:rPr>
            </w:pPr>
            <w:r w:rsidRPr="009B205D">
              <w:rPr>
                <w:rFonts w:ascii="Arial" w:hAnsi="Arial" w:cs="Arial"/>
                <w:sz w:val="28"/>
                <w:szCs w:val="28"/>
              </w:rPr>
              <w:t>DTA launched new weekly match with Massachusetts Dept. of Correction to supplement existing federal quarterly match.</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166"/>
              <w:rPr>
                <w:rFonts w:ascii="Arial" w:hAnsi="Arial" w:cs="Arial"/>
                <w:b/>
                <w:sz w:val="28"/>
                <w:szCs w:val="28"/>
              </w:rPr>
            </w:pPr>
            <w:r w:rsidRPr="009B205D">
              <w:rPr>
                <w:rFonts w:ascii="Arial" w:hAnsi="Arial" w:cs="Arial"/>
                <w:b/>
                <w:sz w:val="28"/>
                <w:szCs w:val="28"/>
              </w:rPr>
              <w:t>Implemented</w:t>
            </w:r>
            <w:r w:rsidRPr="009B205D">
              <w:rPr>
                <w:rFonts w:ascii="Arial" w:hAnsi="Arial" w:cs="Arial"/>
                <w:sz w:val="28"/>
                <w:szCs w:val="28"/>
              </w:rPr>
              <w:t xml:space="preserve"> </w:t>
            </w: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304F86">
            <w:pPr>
              <w:pStyle w:val="Comments"/>
              <w:ind w:left="0"/>
              <w:rPr>
                <w:rFonts w:ascii="Arial" w:hAnsi="Arial" w:cs="Arial"/>
                <w:sz w:val="28"/>
                <w:szCs w:val="28"/>
              </w:rPr>
            </w:pPr>
            <w:r w:rsidRPr="009B205D">
              <w:rPr>
                <w:rFonts w:ascii="Arial" w:hAnsi="Arial" w:cs="Arial"/>
                <w:sz w:val="28"/>
                <w:szCs w:val="28"/>
              </w:rPr>
              <w:t>New process eliminates any lag time between incarceration and closure of benefits.</w:t>
            </w:r>
            <w:r w:rsidRPr="009B205D">
              <w:rPr>
                <w:rFonts w:ascii="Arial" w:hAnsi="Arial" w:cs="Arial"/>
                <w:b/>
                <w:sz w:val="28"/>
                <w:szCs w:val="28"/>
              </w:rPr>
              <w:t xml:space="preserve"> </w:t>
            </w:r>
            <w:r w:rsidRPr="009B205D">
              <w:rPr>
                <w:rFonts w:ascii="Arial" w:hAnsi="Arial" w:cs="Arial"/>
                <w:sz w:val="28"/>
                <w:szCs w:val="28"/>
              </w:rPr>
              <w:t>Metrics will be developed as the match progresses.</w:t>
            </w:r>
          </w:p>
        </w:tc>
      </w:tr>
      <w:tr w:rsidR="00780B80" w:rsidRPr="009B205D" w:rsidTr="00780B80">
        <w:tblPrEx>
          <w:tblCellMar>
            <w:left w:w="14" w:type="dxa"/>
            <w:right w:w="14" w:type="dxa"/>
          </w:tblCellMar>
          <w:tblLook w:val="00A0" w:firstRow="1" w:lastRow="0" w:firstColumn="1" w:lastColumn="0" w:noHBand="0" w:noVBand="0"/>
        </w:tblPrEx>
        <w:trPr>
          <w:trHeight w:val="108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Department of Criminal Justice Information Services (DCJIS) Warrant Match</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match now conducted on monthly basis, as opposed to quarterly basis, with automated notices being sent to the recipient.</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166"/>
              <w:rPr>
                <w:rFonts w:ascii="Arial" w:hAnsi="Arial" w:cs="Arial"/>
                <w:b/>
                <w:sz w:val="28"/>
                <w:szCs w:val="28"/>
              </w:rPr>
            </w:pPr>
            <w:r w:rsidRPr="009B205D">
              <w:rPr>
                <w:rFonts w:ascii="Arial" w:hAnsi="Arial" w:cs="Arial"/>
                <w:b/>
                <w:sz w:val="28"/>
                <w:szCs w:val="28"/>
              </w:rPr>
              <w:t xml:space="preserve">Implemented </w:t>
            </w: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304F86">
            <w:pPr>
              <w:pStyle w:val="Comments"/>
              <w:ind w:left="0"/>
              <w:rPr>
                <w:rFonts w:ascii="Arial" w:hAnsi="Arial" w:cs="Arial"/>
                <w:sz w:val="28"/>
                <w:szCs w:val="28"/>
              </w:rPr>
            </w:pPr>
            <w:r w:rsidRPr="009B205D">
              <w:rPr>
                <w:rFonts w:ascii="Arial" w:hAnsi="Arial" w:cs="Arial"/>
                <w:sz w:val="28"/>
                <w:szCs w:val="28"/>
              </w:rPr>
              <w:t xml:space="preserve">Will ensure match is conducted more frequently and efficiently so no cash assistance recipient with outstanding warrant will receive benefits. This has resulted in timelier sanctioning of clients with warrants. </w:t>
            </w:r>
          </w:p>
        </w:tc>
      </w:tr>
      <w:tr w:rsidR="00780B80" w:rsidRPr="009B205D" w:rsidTr="00780B80">
        <w:tblPrEx>
          <w:tblCellMar>
            <w:left w:w="14" w:type="dxa"/>
            <w:right w:w="14" w:type="dxa"/>
          </w:tblCellMar>
          <w:tblLook w:val="00A0" w:firstRow="1" w:lastRow="0" w:firstColumn="1" w:lastColumn="0" w:noHBand="0" w:noVBand="0"/>
        </w:tblPrEx>
        <w:trPr>
          <w:trHeight w:val="432"/>
        </w:trPr>
        <w:tc>
          <w:tcPr>
            <w:tcW w:w="5000" w:type="pct"/>
            <w:gridSpan w:val="7"/>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166"/>
              <w:rPr>
                <w:rFonts w:ascii="Arial" w:hAnsi="Arial" w:cs="Arial"/>
                <w:b/>
                <w:sz w:val="28"/>
                <w:szCs w:val="28"/>
              </w:rPr>
            </w:pPr>
            <w:r w:rsidRPr="009B205D">
              <w:rPr>
                <w:rFonts w:ascii="Arial" w:hAnsi="Arial" w:cs="Arial"/>
                <w:b/>
                <w:sz w:val="28"/>
                <w:szCs w:val="28"/>
              </w:rPr>
              <w:t>ORGANIZATIONAL IMPROVEMENTS TO RESTORE PUBLIC CONFIDENCE</w:t>
            </w:r>
          </w:p>
        </w:tc>
      </w:tr>
      <w:tr w:rsidR="00780B80" w:rsidRPr="009B205D" w:rsidTr="00780B80">
        <w:tblPrEx>
          <w:tblCellMar>
            <w:left w:w="14" w:type="dxa"/>
            <w:right w:w="14" w:type="dxa"/>
          </w:tblCellMar>
          <w:tblLook w:val="00A0" w:firstRow="1" w:lastRow="0" w:firstColumn="1" w:lastColumn="0" w:noHBand="0" w:noVBand="0"/>
        </w:tblPrEx>
        <w:trPr>
          <w:trHeight w:val="1115"/>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Building Program Integrity Unit Capability</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 xml:space="preserve">DTA’s program integrity unit has been increasing its staff to carry out the additional matches and enhancements detailed in this plan. </w:t>
            </w:r>
          </w:p>
        </w:tc>
        <w:tc>
          <w:tcPr>
            <w:tcW w:w="889"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 xml:space="preserve">Complete </w:t>
            </w:r>
          </w:p>
        </w:tc>
        <w:tc>
          <w:tcPr>
            <w:tcW w:w="1818" w:type="pct"/>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sz w:val="28"/>
                <w:szCs w:val="28"/>
              </w:rPr>
            </w:pPr>
            <w:r w:rsidRPr="009B205D">
              <w:rPr>
                <w:rFonts w:ascii="Arial" w:hAnsi="Arial" w:cs="Arial"/>
                <w:sz w:val="28"/>
                <w:szCs w:val="28"/>
              </w:rPr>
              <w:t>Ensures DTA is able to meet federal timelines to establish a claim and disqualify ineligible clients</w:t>
            </w:r>
            <w:r w:rsidR="001565EF" w:rsidRPr="009B205D">
              <w:rPr>
                <w:rFonts w:ascii="Arial" w:hAnsi="Arial" w:cs="Arial"/>
                <w:sz w:val="28"/>
                <w:szCs w:val="28"/>
              </w:rPr>
              <w:t>.</w:t>
            </w:r>
          </w:p>
        </w:tc>
      </w:tr>
      <w:tr w:rsidR="00780B80" w:rsidRPr="009B205D" w:rsidTr="00780B80">
        <w:tblPrEx>
          <w:tblCellMar>
            <w:left w:w="14" w:type="dxa"/>
            <w:right w:w="14" w:type="dxa"/>
          </w:tblCellMar>
          <w:tblLook w:val="00A0" w:firstRow="1" w:lastRow="0" w:firstColumn="1" w:lastColumn="0" w:noHBand="0" w:noVBand="0"/>
        </w:tblPrEx>
        <w:trPr>
          <w:trHeight w:val="432"/>
        </w:trPr>
        <w:tc>
          <w:tcPr>
            <w:tcW w:w="5000" w:type="pct"/>
            <w:gridSpan w:val="7"/>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VERIFICATION-RELATED PROGRAM INTEGRITY ENHANCEMENTS</w:t>
            </w:r>
          </w:p>
        </w:tc>
      </w:tr>
      <w:tr w:rsidR="00780B80" w:rsidRPr="009B205D" w:rsidTr="00780B80">
        <w:tblPrEx>
          <w:tblCellMar>
            <w:left w:w="14" w:type="dxa"/>
            <w:right w:w="14" w:type="dxa"/>
          </w:tblCellMar>
          <w:tblLook w:val="00A0" w:firstRow="1" w:lastRow="0" w:firstColumn="1" w:lastColumn="0" w:noHBand="0" w:noVBand="0"/>
        </w:tblPrEx>
        <w:trPr>
          <w:trHeight w:val="605"/>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Enhancements</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Initiative Descriptions</w:t>
            </w:r>
          </w:p>
        </w:tc>
        <w:tc>
          <w:tcPr>
            <w:tcW w:w="85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Status</w:t>
            </w:r>
          </w:p>
        </w:tc>
        <w:tc>
          <w:tcPr>
            <w:tcW w:w="1853" w:type="pct"/>
            <w:gridSpan w:val="3"/>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columntitles"/>
              <w:rPr>
                <w:rFonts w:ascii="Arial" w:hAnsi="Arial" w:cs="Arial"/>
                <w:sz w:val="28"/>
                <w:szCs w:val="28"/>
              </w:rPr>
            </w:pPr>
            <w:r w:rsidRPr="009B205D">
              <w:rPr>
                <w:rFonts w:ascii="Arial" w:hAnsi="Arial" w:cs="Arial"/>
                <w:sz w:val="28"/>
                <w:szCs w:val="28"/>
              </w:rPr>
              <w:t>Goals</w:t>
            </w:r>
          </w:p>
        </w:tc>
      </w:tr>
      <w:tr w:rsidR="00780B80" w:rsidRPr="009B205D" w:rsidTr="00780B80">
        <w:tblPrEx>
          <w:tblCellMar>
            <w:left w:w="14" w:type="dxa"/>
            <w:right w:w="14" w:type="dxa"/>
          </w:tblCellMar>
          <w:tblLook w:val="00A0" w:firstRow="1" w:lastRow="0" w:firstColumn="1" w:lastColumn="0" w:noHBand="0" w:noVBand="0"/>
        </w:tblPrEx>
        <w:trPr>
          <w:trHeight w:val="605"/>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t>Absent Non-Custodial Parent Verification</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 xml:space="preserve">DTA has increased file examination that will help identify non-custodial parents in the household. Information also being shared with DOR, which can result in increased child support collection. </w:t>
            </w:r>
          </w:p>
        </w:tc>
        <w:tc>
          <w:tcPr>
            <w:tcW w:w="85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Implemented</w:t>
            </w:r>
            <w:r w:rsidRPr="009B205D">
              <w:rPr>
                <w:rFonts w:ascii="Arial" w:hAnsi="Arial" w:cs="Arial"/>
                <w:sz w:val="28"/>
                <w:szCs w:val="28"/>
              </w:rPr>
              <w:t xml:space="preserve"> </w:t>
            </w:r>
          </w:p>
        </w:tc>
        <w:tc>
          <w:tcPr>
            <w:tcW w:w="1853" w:type="pct"/>
            <w:gridSpan w:val="3"/>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 xml:space="preserve">This </w:t>
            </w:r>
            <w:r w:rsidR="001565EF" w:rsidRPr="009B205D">
              <w:rPr>
                <w:rFonts w:ascii="Arial" w:hAnsi="Arial" w:cs="Arial"/>
                <w:sz w:val="28"/>
                <w:szCs w:val="28"/>
              </w:rPr>
              <w:t>has</w:t>
            </w:r>
            <w:r w:rsidRPr="009B205D">
              <w:rPr>
                <w:rFonts w:ascii="Arial" w:hAnsi="Arial" w:cs="Arial"/>
                <w:sz w:val="28"/>
                <w:szCs w:val="28"/>
              </w:rPr>
              <w:t xml:space="preserve"> result</w:t>
            </w:r>
            <w:r w:rsidR="001565EF" w:rsidRPr="009B205D">
              <w:rPr>
                <w:rFonts w:ascii="Arial" w:hAnsi="Arial" w:cs="Arial"/>
                <w:sz w:val="28"/>
                <w:szCs w:val="28"/>
              </w:rPr>
              <w:t>ed in</w:t>
            </w:r>
            <w:r w:rsidRPr="009B205D">
              <w:rPr>
                <w:rFonts w:ascii="Arial" w:hAnsi="Arial" w:cs="Arial"/>
                <w:sz w:val="28"/>
                <w:szCs w:val="28"/>
              </w:rPr>
              <w:t xml:space="preserve"> increased identification of absent non-custodial parents to increase collection of child support for children and investigation and overpayment recoupment for taxpayers.</w:t>
            </w:r>
          </w:p>
        </w:tc>
      </w:tr>
      <w:tr w:rsidR="00780B80" w:rsidRPr="009B205D" w:rsidTr="00780B80">
        <w:tblPrEx>
          <w:tblCellMar>
            <w:left w:w="14" w:type="dxa"/>
            <w:right w:w="14" w:type="dxa"/>
          </w:tblCellMar>
          <w:tblLook w:val="00A0" w:firstRow="1" w:lastRow="0" w:firstColumn="1" w:lastColumn="0" w:noHBand="0" w:noVBand="0"/>
        </w:tblPrEx>
        <w:trPr>
          <w:trHeight w:val="35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t xml:space="preserve">Residency and </w:t>
            </w:r>
            <w:r w:rsidRPr="009B205D">
              <w:rPr>
                <w:rFonts w:ascii="Arial" w:hAnsi="Arial" w:cs="Arial"/>
                <w:sz w:val="28"/>
                <w:szCs w:val="28"/>
              </w:rPr>
              <w:lastRenderedPageBreak/>
              <w:t>Address Verification</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lastRenderedPageBreak/>
              <w:t xml:space="preserve">Caseworkers increased </w:t>
            </w:r>
            <w:r w:rsidRPr="009B205D">
              <w:rPr>
                <w:rFonts w:ascii="Arial" w:hAnsi="Arial" w:cs="Arial"/>
                <w:sz w:val="28"/>
                <w:szCs w:val="28"/>
              </w:rPr>
              <w:lastRenderedPageBreak/>
              <w:t xml:space="preserve">address verification controls.  DTA revised landlord verification and shared housing forms to require clients to sign “under penalty of perjury.” </w:t>
            </w:r>
          </w:p>
        </w:tc>
        <w:tc>
          <w:tcPr>
            <w:tcW w:w="85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lastRenderedPageBreak/>
              <w:t xml:space="preserve">Implemented </w:t>
            </w:r>
          </w:p>
        </w:tc>
        <w:tc>
          <w:tcPr>
            <w:tcW w:w="1853" w:type="pct"/>
            <w:gridSpan w:val="3"/>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Enhance</w:t>
            </w:r>
            <w:r w:rsidR="001565EF" w:rsidRPr="009B205D">
              <w:rPr>
                <w:rFonts w:ascii="Arial" w:hAnsi="Arial" w:cs="Arial"/>
                <w:sz w:val="28"/>
                <w:szCs w:val="28"/>
              </w:rPr>
              <w:t>d</w:t>
            </w:r>
            <w:r w:rsidRPr="009B205D">
              <w:rPr>
                <w:rFonts w:ascii="Arial" w:hAnsi="Arial" w:cs="Arial"/>
                <w:sz w:val="28"/>
                <w:szCs w:val="28"/>
              </w:rPr>
              <w:t xml:space="preserve"> residency and </w:t>
            </w:r>
            <w:r w:rsidRPr="009B205D">
              <w:rPr>
                <w:rFonts w:ascii="Arial" w:hAnsi="Arial" w:cs="Arial"/>
                <w:sz w:val="28"/>
                <w:szCs w:val="28"/>
              </w:rPr>
              <w:lastRenderedPageBreak/>
              <w:t>address verification measures when client addresses are reported or change.</w:t>
            </w:r>
          </w:p>
        </w:tc>
      </w:tr>
      <w:tr w:rsidR="00780B80" w:rsidRPr="009B205D" w:rsidTr="00780B80">
        <w:tblPrEx>
          <w:tblCellMar>
            <w:left w:w="14" w:type="dxa"/>
            <w:right w:w="14" w:type="dxa"/>
          </w:tblCellMar>
          <w:tblLook w:val="00A0" w:firstRow="1" w:lastRow="0" w:firstColumn="1" w:lastColumn="0" w:noHBand="0" w:noVBand="0"/>
        </w:tblPrEx>
        <w:trPr>
          <w:trHeight w:val="1178"/>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1565EF">
            <w:pPr>
              <w:pStyle w:val="Reportdetails"/>
              <w:rPr>
                <w:rFonts w:ascii="Arial" w:hAnsi="Arial" w:cs="Arial"/>
                <w:sz w:val="28"/>
                <w:szCs w:val="28"/>
              </w:rPr>
            </w:pPr>
            <w:r w:rsidRPr="009B205D">
              <w:rPr>
                <w:rFonts w:ascii="Arial" w:hAnsi="Arial" w:cs="Arial"/>
                <w:sz w:val="28"/>
                <w:szCs w:val="28"/>
              </w:rPr>
              <w:lastRenderedPageBreak/>
              <w:t>Social Security Number Verification Enhancements</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enhanced verification of names, date of birth and gender of clients who have a systems generated number, through the SSA and EVS verification process for updated SSNs.</w:t>
            </w:r>
          </w:p>
        </w:tc>
        <w:tc>
          <w:tcPr>
            <w:tcW w:w="85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 xml:space="preserve">Implemented </w:t>
            </w:r>
          </w:p>
        </w:tc>
        <w:tc>
          <w:tcPr>
            <w:tcW w:w="1853" w:type="pct"/>
            <w:gridSpan w:val="3"/>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Improve</w:t>
            </w:r>
            <w:r w:rsidR="001565EF" w:rsidRPr="009B205D">
              <w:rPr>
                <w:rFonts w:ascii="Arial" w:hAnsi="Arial" w:cs="Arial"/>
                <w:sz w:val="28"/>
                <w:szCs w:val="28"/>
              </w:rPr>
              <w:t>d</w:t>
            </w:r>
            <w:r w:rsidRPr="009B205D">
              <w:rPr>
                <w:rFonts w:ascii="Arial" w:hAnsi="Arial" w:cs="Arial"/>
                <w:sz w:val="28"/>
                <w:szCs w:val="28"/>
              </w:rPr>
              <w:t xml:space="preserve"> accuracy and integrity of social security verification process.</w:t>
            </w:r>
          </w:p>
        </w:tc>
      </w:tr>
      <w:tr w:rsidR="00780B80" w:rsidRPr="009B205D" w:rsidTr="001565EF">
        <w:tblPrEx>
          <w:tblCellMar>
            <w:left w:w="14" w:type="dxa"/>
            <w:right w:w="14" w:type="dxa"/>
          </w:tblCellMar>
          <w:tblLook w:val="00A0" w:firstRow="1" w:lastRow="0" w:firstColumn="1" w:lastColumn="0" w:noHBand="0" w:noVBand="0"/>
        </w:tblPrEx>
        <w:trPr>
          <w:trHeight w:val="1880"/>
        </w:trPr>
        <w:tc>
          <w:tcPr>
            <w:tcW w:w="833"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Reportdetails"/>
              <w:rPr>
                <w:rFonts w:ascii="Arial" w:hAnsi="Arial" w:cs="Arial"/>
                <w:sz w:val="28"/>
                <w:szCs w:val="28"/>
              </w:rPr>
            </w:pPr>
            <w:r w:rsidRPr="009B205D">
              <w:rPr>
                <w:rFonts w:ascii="Arial" w:hAnsi="Arial" w:cs="Arial"/>
                <w:sz w:val="28"/>
                <w:szCs w:val="28"/>
              </w:rPr>
              <w:t>Income Verification</w:t>
            </w:r>
          </w:p>
        </w:tc>
        <w:tc>
          <w:tcPr>
            <w:tcW w:w="1460" w:type="pct"/>
            <w:gridSpan w:val="2"/>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ind w:left="0"/>
              <w:rPr>
                <w:rFonts w:ascii="Arial" w:hAnsi="Arial" w:cs="Arial"/>
                <w:sz w:val="28"/>
                <w:szCs w:val="28"/>
              </w:rPr>
            </w:pPr>
            <w:r w:rsidRPr="009B205D">
              <w:rPr>
                <w:rFonts w:ascii="Arial" w:hAnsi="Arial" w:cs="Arial"/>
                <w:sz w:val="28"/>
                <w:szCs w:val="28"/>
              </w:rPr>
              <w:t>DTA launched pilot front-end income verification through Equifax national database. Pilot to significantly increase timeliness of employment information available, while reducing reliance on “pay and chase” process.</w:t>
            </w:r>
          </w:p>
        </w:tc>
        <w:tc>
          <w:tcPr>
            <w:tcW w:w="854" w:type="pct"/>
            <w:tcBorders>
              <w:top w:val="single" w:sz="4" w:space="0" w:color="C4BC96"/>
              <w:left w:val="single" w:sz="4" w:space="0" w:color="C4BC96"/>
              <w:bottom w:val="single" w:sz="4" w:space="0" w:color="C4BC96"/>
              <w:right w:val="single" w:sz="4" w:space="0" w:color="C4BC96"/>
            </w:tcBorders>
            <w:shd w:val="clear" w:color="auto" w:fill="EEECE1"/>
            <w:vAlign w:val="center"/>
          </w:tcPr>
          <w:p w:rsidR="00780B80" w:rsidRPr="009B205D" w:rsidRDefault="00780B80" w:rsidP="00780B80">
            <w:pPr>
              <w:pStyle w:val="Comments"/>
              <w:rPr>
                <w:rFonts w:ascii="Arial" w:hAnsi="Arial" w:cs="Arial"/>
                <w:b/>
                <w:sz w:val="28"/>
                <w:szCs w:val="28"/>
              </w:rPr>
            </w:pPr>
            <w:r w:rsidRPr="009B205D">
              <w:rPr>
                <w:rFonts w:ascii="Arial" w:hAnsi="Arial" w:cs="Arial"/>
                <w:b/>
                <w:sz w:val="28"/>
                <w:szCs w:val="28"/>
              </w:rPr>
              <w:t>Pilot Implemented</w:t>
            </w:r>
          </w:p>
        </w:tc>
        <w:tc>
          <w:tcPr>
            <w:tcW w:w="1853" w:type="pct"/>
            <w:gridSpan w:val="3"/>
            <w:tcBorders>
              <w:top w:val="single" w:sz="4" w:space="0" w:color="C4BC96"/>
              <w:left w:val="single" w:sz="4" w:space="0" w:color="C4BC96"/>
              <w:bottom w:val="single" w:sz="4" w:space="0" w:color="C4BC96"/>
              <w:right w:val="single" w:sz="4" w:space="0" w:color="C4BC96"/>
            </w:tcBorders>
            <w:shd w:val="clear" w:color="auto" w:fill="EEECE1"/>
          </w:tcPr>
          <w:p w:rsidR="00780B80" w:rsidRPr="009B205D" w:rsidRDefault="00780B80" w:rsidP="001565EF">
            <w:pPr>
              <w:pStyle w:val="Comments"/>
              <w:ind w:left="0"/>
              <w:rPr>
                <w:rFonts w:ascii="Arial" w:hAnsi="Arial" w:cs="Arial"/>
                <w:b/>
                <w:sz w:val="28"/>
                <w:szCs w:val="28"/>
              </w:rPr>
            </w:pPr>
            <w:r w:rsidRPr="009B205D">
              <w:rPr>
                <w:rFonts w:ascii="Arial" w:hAnsi="Arial" w:cs="Arial"/>
                <w:sz w:val="28"/>
                <w:szCs w:val="28"/>
              </w:rPr>
              <w:t xml:space="preserve">Implementation </w:t>
            </w:r>
            <w:r w:rsidR="001565EF" w:rsidRPr="009B205D">
              <w:rPr>
                <w:rFonts w:ascii="Arial" w:hAnsi="Arial" w:cs="Arial"/>
                <w:sz w:val="28"/>
                <w:szCs w:val="28"/>
              </w:rPr>
              <w:t>has</w:t>
            </w:r>
            <w:r w:rsidRPr="009B205D">
              <w:rPr>
                <w:rFonts w:ascii="Arial" w:hAnsi="Arial" w:cs="Arial"/>
                <w:sz w:val="28"/>
                <w:szCs w:val="28"/>
              </w:rPr>
              <w:t xml:space="preserve"> improve</w:t>
            </w:r>
            <w:r w:rsidR="001565EF" w:rsidRPr="009B205D">
              <w:rPr>
                <w:rFonts w:ascii="Arial" w:hAnsi="Arial" w:cs="Arial"/>
                <w:sz w:val="28"/>
                <w:szCs w:val="28"/>
              </w:rPr>
              <w:t>d</w:t>
            </w:r>
            <w:r w:rsidRPr="009B205D">
              <w:rPr>
                <w:rFonts w:ascii="Arial" w:hAnsi="Arial" w:cs="Arial"/>
                <w:sz w:val="28"/>
                <w:szCs w:val="28"/>
              </w:rPr>
              <w:t xml:space="preserve"> efficiencies, and act</w:t>
            </w:r>
            <w:r w:rsidR="001565EF" w:rsidRPr="009B205D">
              <w:rPr>
                <w:rFonts w:ascii="Arial" w:hAnsi="Arial" w:cs="Arial"/>
                <w:sz w:val="28"/>
                <w:szCs w:val="28"/>
              </w:rPr>
              <w:t>s</w:t>
            </w:r>
            <w:r w:rsidRPr="009B205D">
              <w:rPr>
                <w:rFonts w:ascii="Arial" w:hAnsi="Arial" w:cs="Arial"/>
                <w:sz w:val="28"/>
                <w:szCs w:val="28"/>
              </w:rPr>
              <w:t xml:space="preserve"> as a deterrent to fraudulent activities result</w:t>
            </w:r>
            <w:r w:rsidR="001565EF" w:rsidRPr="009B205D">
              <w:rPr>
                <w:rFonts w:ascii="Arial" w:hAnsi="Arial" w:cs="Arial"/>
                <w:sz w:val="28"/>
                <w:szCs w:val="28"/>
              </w:rPr>
              <w:t>ing</w:t>
            </w:r>
            <w:r w:rsidRPr="009B205D">
              <w:rPr>
                <w:rFonts w:ascii="Arial" w:hAnsi="Arial" w:cs="Arial"/>
                <w:sz w:val="28"/>
                <w:szCs w:val="28"/>
              </w:rPr>
              <w:t xml:space="preserve"> in increased denials, overpayments and decrease potential fraud. </w:t>
            </w:r>
          </w:p>
        </w:tc>
      </w:tr>
    </w:tbl>
    <w:p w:rsidR="00780B80" w:rsidRPr="009B205D" w:rsidRDefault="00780B80" w:rsidP="00780B80">
      <w:pPr>
        <w:spacing w:after="0" w:line="240" w:lineRule="auto"/>
        <w:rPr>
          <w:rFonts w:ascii="Arial" w:eastAsia="Times New Roman" w:hAnsi="Arial" w:cs="Arial"/>
          <w:sz w:val="28"/>
          <w:szCs w:val="28"/>
        </w:rPr>
      </w:pPr>
    </w:p>
    <w:p w:rsidR="00780B80" w:rsidRPr="009B205D" w:rsidRDefault="00780B80" w:rsidP="00780B80">
      <w:pPr>
        <w:spacing w:after="0" w:line="240" w:lineRule="auto"/>
        <w:jc w:val="center"/>
        <w:rPr>
          <w:rFonts w:ascii="Arial" w:eastAsia="Times New Roman" w:hAnsi="Arial" w:cs="Arial"/>
          <w:sz w:val="28"/>
          <w:szCs w:val="28"/>
        </w:rPr>
      </w:pPr>
    </w:p>
    <w:p w:rsidR="00780B80" w:rsidRPr="009B205D" w:rsidRDefault="00780B80" w:rsidP="00780B80">
      <w:pPr>
        <w:rPr>
          <w:rFonts w:ascii="Arial" w:hAnsi="Arial" w:cs="Arial"/>
          <w:sz w:val="28"/>
          <w:szCs w:val="28"/>
        </w:rPr>
      </w:pPr>
    </w:p>
    <w:sectPr w:rsidR="00780B80" w:rsidRPr="009B205D" w:rsidSect="007257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0000012" w:usb3="00000000" w:csb0="0002009F"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E0C8E"/>
    <w:multiLevelType w:val="hybridMultilevel"/>
    <w:tmpl w:val="3836F348"/>
    <w:lvl w:ilvl="0" w:tplc="C4240F5E">
      <w:start w:val="1"/>
      <w:numFmt w:val="decimal"/>
      <w:lvlText w:val="%1)"/>
      <w:lvlJc w:val="left"/>
      <w:pPr>
        <w:ind w:left="720" w:hanging="360"/>
      </w:pPr>
      <w:rPr>
        <w:rFonts w:hint="default"/>
        <w:b w:val="0"/>
      </w:rPr>
    </w:lvl>
    <w:lvl w:ilvl="1" w:tplc="D1C04436">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7D102B19"/>
    <w:multiLevelType w:val="hybridMultilevel"/>
    <w:tmpl w:val="5232A16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699F"/>
    <w:rsid w:val="00137BAA"/>
    <w:rsid w:val="001565EF"/>
    <w:rsid w:val="001D7122"/>
    <w:rsid w:val="002827D2"/>
    <w:rsid w:val="00304F86"/>
    <w:rsid w:val="00353FE9"/>
    <w:rsid w:val="004D0B4F"/>
    <w:rsid w:val="005D3358"/>
    <w:rsid w:val="00666469"/>
    <w:rsid w:val="006D311A"/>
    <w:rsid w:val="006F581E"/>
    <w:rsid w:val="00725740"/>
    <w:rsid w:val="00756A4F"/>
    <w:rsid w:val="00780B80"/>
    <w:rsid w:val="009B205D"/>
    <w:rsid w:val="00A4699F"/>
    <w:rsid w:val="00D473D1"/>
    <w:rsid w:val="00F636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9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699F"/>
    <w:pPr>
      <w:ind w:left="720"/>
      <w:contextualSpacing/>
    </w:pPr>
  </w:style>
  <w:style w:type="character" w:styleId="CommentReference">
    <w:name w:val="annotation reference"/>
    <w:basedOn w:val="DefaultParagraphFont"/>
    <w:uiPriority w:val="99"/>
    <w:semiHidden/>
    <w:unhideWhenUsed/>
    <w:rsid w:val="00A4699F"/>
    <w:rPr>
      <w:sz w:val="16"/>
      <w:szCs w:val="16"/>
    </w:rPr>
  </w:style>
  <w:style w:type="paragraph" w:styleId="CommentText">
    <w:name w:val="annotation text"/>
    <w:basedOn w:val="Normal"/>
    <w:link w:val="CommentTextChar"/>
    <w:uiPriority w:val="99"/>
    <w:semiHidden/>
    <w:unhideWhenUsed/>
    <w:rsid w:val="00A4699F"/>
    <w:pPr>
      <w:spacing w:line="240" w:lineRule="auto"/>
    </w:pPr>
    <w:rPr>
      <w:sz w:val="20"/>
      <w:szCs w:val="20"/>
    </w:rPr>
  </w:style>
  <w:style w:type="character" w:customStyle="1" w:styleId="CommentTextChar">
    <w:name w:val="Comment Text Char"/>
    <w:basedOn w:val="DefaultParagraphFont"/>
    <w:link w:val="CommentText"/>
    <w:uiPriority w:val="99"/>
    <w:semiHidden/>
    <w:rsid w:val="00A4699F"/>
    <w:rPr>
      <w:sz w:val="20"/>
      <w:szCs w:val="20"/>
    </w:rPr>
  </w:style>
  <w:style w:type="paragraph" w:styleId="BalloonText">
    <w:name w:val="Balloon Text"/>
    <w:basedOn w:val="Normal"/>
    <w:link w:val="BalloonTextChar"/>
    <w:uiPriority w:val="99"/>
    <w:semiHidden/>
    <w:unhideWhenUsed/>
    <w:rsid w:val="00A46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99F"/>
    <w:rPr>
      <w:rFonts w:ascii="Tahoma" w:hAnsi="Tahoma" w:cs="Tahoma"/>
      <w:sz w:val="16"/>
      <w:szCs w:val="16"/>
    </w:rPr>
  </w:style>
  <w:style w:type="paragraph" w:customStyle="1" w:styleId="TableHeading1">
    <w:name w:val="Table Heading 1"/>
    <w:basedOn w:val="Normal"/>
    <w:rsid w:val="005D3358"/>
    <w:pPr>
      <w:spacing w:after="0" w:line="240" w:lineRule="auto"/>
    </w:pPr>
    <w:rPr>
      <w:rFonts w:ascii="Arial" w:eastAsia="Times New Roman" w:hAnsi="Arial" w:cs="Times New Roman"/>
      <w:b/>
      <w:sz w:val="36"/>
      <w:szCs w:val="24"/>
    </w:rPr>
  </w:style>
  <w:style w:type="paragraph" w:customStyle="1" w:styleId="Reportdetails">
    <w:name w:val="Report details"/>
    <w:basedOn w:val="Normal"/>
    <w:uiPriority w:val="99"/>
    <w:rsid w:val="005D3358"/>
    <w:pPr>
      <w:spacing w:after="0" w:line="240" w:lineRule="auto"/>
      <w:ind w:left="144"/>
    </w:pPr>
    <w:rPr>
      <w:rFonts w:ascii="Cambria" w:eastAsia="Cambria" w:hAnsi="Cambria" w:cs="Times New Roman"/>
      <w:b/>
      <w:color w:val="984806"/>
    </w:rPr>
  </w:style>
  <w:style w:type="paragraph" w:customStyle="1" w:styleId="Reportcolumntitles">
    <w:name w:val="Report column titles"/>
    <w:basedOn w:val="Normal"/>
    <w:uiPriority w:val="99"/>
    <w:rsid w:val="005D3358"/>
    <w:pPr>
      <w:spacing w:after="0" w:line="240" w:lineRule="auto"/>
      <w:jc w:val="center"/>
    </w:pPr>
    <w:rPr>
      <w:rFonts w:ascii="Cambria" w:eastAsia="Cambria" w:hAnsi="Cambria" w:cs="Times New Roman"/>
      <w:b/>
      <w:color w:val="984806"/>
    </w:rPr>
  </w:style>
  <w:style w:type="paragraph" w:customStyle="1" w:styleId="Comments">
    <w:name w:val="Comments"/>
    <w:basedOn w:val="Reportdetails"/>
    <w:uiPriority w:val="99"/>
    <w:rsid w:val="005D3358"/>
    <w:rPr>
      <w:b w:val="0"/>
      <w:color w:val="262626"/>
      <w:sz w:val="20"/>
    </w:rPr>
  </w:style>
  <w:style w:type="paragraph" w:customStyle="1" w:styleId="Normal1">
    <w:name w:val="Normal1"/>
    <w:basedOn w:val="Normal"/>
    <w:uiPriority w:val="99"/>
    <w:rsid w:val="005D3358"/>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66469"/>
    <w:rPr>
      <w:b/>
      <w:bCs/>
    </w:rPr>
  </w:style>
  <w:style w:type="character" w:customStyle="1" w:styleId="CommentSubjectChar">
    <w:name w:val="Comment Subject Char"/>
    <w:basedOn w:val="CommentTextChar"/>
    <w:link w:val="CommentSubject"/>
    <w:uiPriority w:val="99"/>
    <w:semiHidden/>
    <w:rsid w:val="00666469"/>
    <w:rPr>
      <w:b/>
      <w:bCs/>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699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99"/>
    <w:qFormat/>
    <w:rsid w:val="00A4699F"/>
    <w:pPr>
      <w:ind w:left="720"/>
      <w:contextualSpacing/>
    </w:pPr>
  </w:style>
  <w:style w:type="character" w:styleId="CommentReference">
    <w:name w:val="annotation reference"/>
    <w:basedOn w:val="DefaultParagraphFont"/>
    <w:uiPriority w:val="99"/>
    <w:semiHidden/>
    <w:unhideWhenUsed/>
    <w:rsid w:val="00A4699F"/>
    <w:rPr>
      <w:sz w:val="16"/>
      <w:szCs w:val="16"/>
    </w:rPr>
  </w:style>
  <w:style w:type="paragraph" w:styleId="CommentText">
    <w:name w:val="annotation text"/>
    <w:basedOn w:val="Normal"/>
    <w:link w:val="CommentTextChar"/>
    <w:uiPriority w:val="99"/>
    <w:semiHidden/>
    <w:unhideWhenUsed/>
    <w:rsid w:val="00A4699F"/>
    <w:pPr>
      <w:spacing w:line="240" w:lineRule="auto"/>
    </w:pPr>
    <w:rPr>
      <w:sz w:val="20"/>
      <w:szCs w:val="20"/>
    </w:rPr>
  </w:style>
  <w:style w:type="character" w:customStyle="1" w:styleId="CommentTextChar">
    <w:name w:val="Comment Text Char"/>
    <w:basedOn w:val="DefaultParagraphFont"/>
    <w:link w:val="CommentText"/>
    <w:uiPriority w:val="99"/>
    <w:semiHidden/>
    <w:rsid w:val="00A4699F"/>
    <w:rPr>
      <w:sz w:val="20"/>
      <w:szCs w:val="20"/>
    </w:rPr>
  </w:style>
  <w:style w:type="paragraph" w:styleId="BalloonText">
    <w:name w:val="Balloon Text"/>
    <w:basedOn w:val="Normal"/>
    <w:link w:val="BalloonTextChar"/>
    <w:uiPriority w:val="99"/>
    <w:semiHidden/>
    <w:unhideWhenUsed/>
    <w:rsid w:val="00A4699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A4699F"/>
    <w:rPr>
      <w:rFonts w:ascii="Tahoma" w:hAnsi="Tahoma" w:cs="Tahoma"/>
      <w:sz w:val="16"/>
      <w:szCs w:val="16"/>
    </w:rPr>
  </w:style>
  <w:style w:type="paragraph" w:customStyle="1" w:styleId="TableHeading1">
    <w:name w:val="Table Heading 1"/>
    <w:basedOn w:val="Normal"/>
    <w:rsid w:val="005D3358"/>
    <w:pPr>
      <w:spacing w:after="0" w:line="240" w:lineRule="auto"/>
    </w:pPr>
    <w:rPr>
      <w:rFonts w:ascii="Arial" w:eastAsia="Times New Roman" w:hAnsi="Arial" w:cs="Times New Roman"/>
      <w:b/>
      <w:sz w:val="36"/>
      <w:szCs w:val="24"/>
    </w:rPr>
  </w:style>
  <w:style w:type="paragraph" w:customStyle="1" w:styleId="Reportdetails">
    <w:name w:val="Report details"/>
    <w:basedOn w:val="Normal"/>
    <w:uiPriority w:val="99"/>
    <w:rsid w:val="005D3358"/>
    <w:pPr>
      <w:spacing w:after="0" w:line="240" w:lineRule="auto"/>
      <w:ind w:left="144"/>
    </w:pPr>
    <w:rPr>
      <w:rFonts w:ascii="Cambria" w:eastAsia="Cambria" w:hAnsi="Cambria" w:cs="Times New Roman"/>
      <w:b/>
      <w:color w:val="984806"/>
    </w:rPr>
  </w:style>
  <w:style w:type="paragraph" w:customStyle="1" w:styleId="Reportcolumntitles">
    <w:name w:val="Report column titles"/>
    <w:basedOn w:val="Normal"/>
    <w:uiPriority w:val="99"/>
    <w:rsid w:val="005D3358"/>
    <w:pPr>
      <w:spacing w:after="0" w:line="240" w:lineRule="auto"/>
      <w:jc w:val="center"/>
    </w:pPr>
    <w:rPr>
      <w:rFonts w:ascii="Cambria" w:eastAsia="Cambria" w:hAnsi="Cambria" w:cs="Times New Roman"/>
      <w:b/>
      <w:color w:val="984806"/>
    </w:rPr>
  </w:style>
  <w:style w:type="paragraph" w:customStyle="1" w:styleId="Comments">
    <w:name w:val="Comments"/>
    <w:basedOn w:val="Reportdetails"/>
    <w:uiPriority w:val="99"/>
    <w:rsid w:val="005D3358"/>
    <w:rPr>
      <w:b w:val="0"/>
      <w:color w:val="262626"/>
      <w:sz w:val="20"/>
    </w:rPr>
  </w:style>
  <w:style w:type="paragraph" w:customStyle="1" w:styleId="Normal1">
    <w:name w:val="Normal1"/>
    <w:basedOn w:val="Normal"/>
    <w:uiPriority w:val="99"/>
    <w:rsid w:val="005D3358"/>
    <w:pPr>
      <w:spacing w:before="100" w:beforeAutospacing="1" w:after="100" w:afterAutospacing="1" w:line="240" w:lineRule="auto"/>
    </w:pPr>
    <w:rPr>
      <w:rFonts w:ascii="Times New Roman" w:eastAsia="Times New Roman" w:hAnsi="Times New Roman" w:cs="Times New Roman"/>
      <w:sz w:val="24"/>
      <w:szCs w:val="24"/>
    </w:rPr>
  </w:style>
  <w:style w:type="paragraph" w:styleId="CommentSubject">
    <w:name w:val="annotation subject"/>
    <w:basedOn w:val="CommentText"/>
    <w:next w:val="CommentText"/>
    <w:link w:val="CommentSubjectChar"/>
    <w:uiPriority w:val="99"/>
    <w:semiHidden/>
    <w:unhideWhenUsed/>
    <w:rsid w:val="00666469"/>
    <w:rPr>
      <w:b/>
      <w:bCs/>
    </w:rPr>
  </w:style>
  <w:style w:type="character" w:customStyle="1" w:styleId="CommentSubjectChar">
    <w:name w:val="Comment Subject Char"/>
    <w:basedOn w:val="CommentTextChar"/>
    <w:link w:val="CommentSubject"/>
    <w:uiPriority w:val="99"/>
    <w:semiHidden/>
    <w:rsid w:val="00666469"/>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5</Pages>
  <Words>1261</Words>
  <Characters>7193</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
    </vt:vector>
  </TitlesOfParts>
  <Company>EHS</Company>
  <LinksUpToDate>false</LinksUpToDate>
  <CharactersWithSpaces>8438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Henderson, Claudia (EHS)</dc:creator>
  <cp:lastModifiedBy>Erin McAleer</cp:lastModifiedBy>
  <cp:revision>5</cp:revision>
  <cp:lastPrinted>2014-12-08T19:53:00Z</cp:lastPrinted>
  <dcterms:created xsi:type="dcterms:W3CDTF">2014-12-08T14:30:00Z</dcterms:created>
  <dcterms:modified xsi:type="dcterms:W3CDTF">2014-12-08T19:55:00Z</dcterms:modified>
</cp:coreProperties>
</file>